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C" w:rsidRPr="009304B6" w:rsidRDefault="004E09EC" w:rsidP="009304B6">
      <w:pPr>
        <w:pStyle w:val="a3"/>
        <w:spacing w:before="120" w:line="360" w:lineRule="auto"/>
        <w:rPr>
          <w:rStyle w:val="a4"/>
          <w:rFonts w:ascii="Verdana" w:hAnsi="Verdana" w:cs="Helvetica"/>
          <w:color w:val="333333"/>
          <w:sz w:val="20"/>
          <w:szCs w:val="20"/>
        </w:rPr>
      </w:pPr>
    </w:p>
    <w:p w:rsidR="004E09EC" w:rsidRPr="009304B6" w:rsidRDefault="00A7442A" w:rsidP="00A7442A">
      <w:pPr>
        <w:pStyle w:val="a3"/>
        <w:tabs>
          <w:tab w:val="left" w:pos="3000"/>
        </w:tabs>
        <w:spacing w:before="120" w:line="360" w:lineRule="auto"/>
        <w:rPr>
          <w:rStyle w:val="a4"/>
          <w:rFonts w:ascii="Verdana" w:hAnsi="Verdana" w:cs="Helvetica"/>
          <w:color w:val="333333"/>
          <w:sz w:val="20"/>
          <w:szCs w:val="20"/>
        </w:rPr>
      </w:pPr>
      <w:r>
        <w:rPr>
          <w:rStyle w:val="a4"/>
          <w:rFonts w:ascii="Verdana" w:hAnsi="Verdana" w:cs="Helvetica"/>
          <w:color w:val="333333"/>
          <w:sz w:val="20"/>
          <w:szCs w:val="20"/>
          <w:lang w:val="en-US"/>
        </w:rPr>
        <w:tab/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        </w:t>
      </w:r>
      <w:r w:rsidRPr="009304B6">
        <w:rPr>
          <w:rStyle w:val="a4"/>
          <w:rFonts w:ascii="Verdana" w:hAnsi="Verdana" w:cs="Helvetica"/>
          <w:color w:val="333333"/>
          <w:sz w:val="20"/>
          <w:szCs w:val="20"/>
        </w:rPr>
        <w:t>СИСТЕМА</w:t>
      </w:r>
    </w:p>
    <w:p w:rsidR="00EC4F7C" w:rsidRPr="009304B6" w:rsidRDefault="00EC4F7C" w:rsidP="00A21781">
      <w:pPr>
        <w:pStyle w:val="a3"/>
        <w:tabs>
          <w:tab w:val="left" w:pos="3000"/>
        </w:tabs>
        <w:spacing w:before="120" w:line="360" w:lineRule="auto"/>
        <w:rPr>
          <w:rStyle w:val="a4"/>
          <w:rFonts w:ascii="Verdana" w:hAnsi="Verdana" w:cs="Helvetica"/>
          <w:color w:val="333333"/>
          <w:sz w:val="20"/>
          <w:szCs w:val="20"/>
        </w:rPr>
      </w:pPr>
      <w:r w:rsidRPr="009304B6">
        <w:rPr>
          <w:rStyle w:val="a4"/>
          <w:rFonts w:ascii="Verdana" w:hAnsi="Verdana" w:cs="Helvetica"/>
          <w:color w:val="333333"/>
          <w:sz w:val="20"/>
          <w:szCs w:val="20"/>
        </w:rPr>
        <w:t xml:space="preserve">    </w:t>
      </w:r>
      <w:r w:rsidR="00131275" w:rsidRPr="009304B6">
        <w:rPr>
          <w:rStyle w:val="a4"/>
          <w:rFonts w:ascii="Verdana" w:hAnsi="Verdana" w:cs="Helvetica"/>
          <w:color w:val="333333"/>
          <w:sz w:val="20"/>
          <w:szCs w:val="20"/>
        </w:rPr>
        <w:t>За определяне резултатите</w:t>
      </w:r>
      <w:r w:rsidR="00A21781" w:rsidRPr="009304B6">
        <w:rPr>
          <w:rStyle w:val="a4"/>
          <w:rFonts w:ascii="Verdana" w:hAnsi="Verdana" w:cs="Helvetica"/>
          <w:color w:val="333333"/>
          <w:sz w:val="20"/>
          <w:szCs w:val="20"/>
        </w:rPr>
        <w:t xml:space="preserve"> при провеждане на конкурсна процедура за длъжността началник отдел „ТСУ и ОС“  в общинска администрация Борино</w:t>
      </w:r>
      <w:r w:rsidR="00131275" w:rsidRPr="009304B6">
        <w:rPr>
          <w:rStyle w:val="a4"/>
          <w:rFonts w:ascii="Verdana" w:hAnsi="Verdana" w:cs="Helvetica"/>
          <w:color w:val="333333"/>
          <w:sz w:val="20"/>
          <w:szCs w:val="20"/>
        </w:rPr>
        <w:t>,</w:t>
      </w:r>
      <w:r w:rsidRPr="009304B6">
        <w:rPr>
          <w:rStyle w:val="a4"/>
          <w:rFonts w:ascii="Verdana" w:hAnsi="Verdana" w:cs="Helvetica"/>
          <w:color w:val="333333"/>
          <w:sz w:val="20"/>
          <w:szCs w:val="20"/>
        </w:rPr>
        <w:t xml:space="preserve"> </w:t>
      </w:r>
    </w:p>
    <w:p w:rsidR="004E09EC" w:rsidRPr="009304B6" w:rsidRDefault="004E09EC" w:rsidP="0075162D">
      <w:pPr>
        <w:pStyle w:val="a3"/>
        <w:spacing w:before="120" w:line="360" w:lineRule="auto"/>
        <w:jc w:val="center"/>
        <w:rPr>
          <w:rStyle w:val="a4"/>
          <w:rFonts w:ascii="Verdana" w:hAnsi="Verdana" w:cs="Helvetica"/>
          <w:color w:val="333333"/>
          <w:sz w:val="20"/>
          <w:szCs w:val="20"/>
          <w:lang w:val="en-US"/>
        </w:rPr>
      </w:pPr>
    </w:p>
    <w:p w:rsidR="004A2AE3" w:rsidRPr="004A2AE3" w:rsidRDefault="00AD7D64" w:rsidP="00A21781">
      <w:pPr>
        <w:pStyle w:val="a3"/>
        <w:tabs>
          <w:tab w:val="left" w:pos="660"/>
        </w:tabs>
        <w:spacing w:before="120" w:line="360" w:lineRule="auto"/>
        <w:rPr>
          <w:rFonts w:ascii="Verdana" w:hAnsi="Verdana" w:cs="Helvetica"/>
          <w:b/>
          <w:bCs/>
          <w:color w:val="333333"/>
          <w:sz w:val="20"/>
          <w:szCs w:val="20"/>
        </w:rPr>
      </w:pPr>
      <w:r w:rsidRPr="009304B6">
        <w:rPr>
          <w:rStyle w:val="a4"/>
          <w:rFonts w:ascii="Verdana" w:hAnsi="Verdana" w:cs="Helvetica"/>
          <w:color w:val="333333"/>
          <w:sz w:val="20"/>
          <w:szCs w:val="20"/>
          <w:lang w:val="en-US"/>
        </w:rPr>
        <w:tab/>
      </w:r>
      <w:proofErr w:type="gramStart"/>
      <w:r w:rsidRPr="009304B6">
        <w:rPr>
          <w:rStyle w:val="a4"/>
          <w:rFonts w:ascii="Verdana" w:hAnsi="Verdana" w:cs="Helvetica"/>
          <w:color w:val="333333"/>
          <w:sz w:val="20"/>
          <w:szCs w:val="20"/>
          <w:lang w:val="en-US"/>
        </w:rPr>
        <w:t>I.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Съгласно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обявеният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начин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на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провеждане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на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първия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етап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от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конкурсната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процедура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,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конкурсната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комисия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е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подготвила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три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варианта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на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тест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.</w:t>
      </w:r>
      <w:proofErr w:type="gram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proofErr w:type="gram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Теста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включва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30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затворени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въпроса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,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всеки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от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които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има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само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един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верен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отговор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.</w:t>
      </w:r>
      <w:proofErr w:type="gram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proofErr w:type="gram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Всеки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въпрос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носи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1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точка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.</w:t>
      </w:r>
      <w:proofErr w:type="gram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proofErr w:type="gram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Максимален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брой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на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точките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– 30.</w:t>
      </w:r>
      <w:proofErr w:type="gram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proofErr w:type="gram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Минималният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резултат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,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при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който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теста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ще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се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счита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за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успешно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издържан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е 20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точки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,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което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се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равнява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на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оценка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4.00.</w:t>
      </w:r>
      <w:proofErr w:type="gram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За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всеки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следващ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верен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отговор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се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добавя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към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оценката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0</w:t>
      </w:r>
      <w:proofErr w:type="gram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,10</w:t>
      </w:r>
      <w:proofErr w:type="gram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.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Максималната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оценка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е 5</w:t>
      </w:r>
      <w:proofErr w:type="gram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,00</w:t>
      </w:r>
      <w:proofErr w:type="gram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при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30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верни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отговора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.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Скала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за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 xml:space="preserve"> </w:t>
      </w:r>
      <w:proofErr w:type="spellStart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оценяване</w:t>
      </w:r>
      <w:proofErr w:type="spellEnd"/>
      <w:r w:rsidR="004A2AE3" w:rsidRPr="004A2AE3">
        <w:rPr>
          <w:rFonts w:ascii="Verdana" w:hAnsi="Verdana"/>
          <w:color w:val="010101"/>
          <w:sz w:val="20"/>
          <w:szCs w:val="20"/>
          <w:lang w:val="en"/>
        </w:rPr>
        <w:t>: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Оценяване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: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/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Оценка</w:t>
      </w:r>
      <w:proofErr w:type="spellEnd"/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20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4.00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21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4.10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22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4.20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23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4.30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24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4.40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25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4.50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26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4.60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27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4.70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28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4.80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29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4.90</w:t>
      </w:r>
    </w:p>
    <w:p w:rsid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eastAsia="bg-BG"/>
        </w:rPr>
      </w:pPr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30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5.00</w:t>
      </w:r>
    </w:p>
    <w:p w:rsidR="00D771DD" w:rsidRPr="00D771DD" w:rsidRDefault="00D771DD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eastAsia="bg-BG"/>
        </w:rPr>
      </w:pPr>
    </w:p>
    <w:p w:rsid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eastAsia="bg-BG"/>
        </w:rPr>
      </w:pPr>
      <w:proofErr w:type="spellStart"/>
      <w:proofErr w:type="gram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До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следващият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етап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конкурса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/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интервю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/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се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допускат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кандидатите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получили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минимум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20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точки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.</w:t>
      </w:r>
      <w:proofErr w:type="gram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proofErr w:type="gram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Продължителност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за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провеждане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на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теста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45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мин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.</w:t>
      </w:r>
      <w:proofErr w:type="gramEnd"/>
    </w:p>
    <w:p w:rsidR="00D771DD" w:rsidRPr="00D771DD" w:rsidRDefault="00D771DD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eastAsia="bg-BG"/>
        </w:rPr>
      </w:pP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proofErr w:type="spellStart"/>
      <w:proofErr w:type="gram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lastRenderedPageBreak/>
        <w:t>Комисията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определи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коефициентите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на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тежест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с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които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се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умножават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резултатите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на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кандидатите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теста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коефициент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3,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интервюто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–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коефициент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5.</w:t>
      </w:r>
      <w:proofErr w:type="gramEnd"/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</w:pP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Окончателният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резултат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от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теста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и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интервюто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се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определя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,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както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 xml:space="preserve"> </w:t>
      </w:r>
      <w:proofErr w:type="spellStart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следва</w:t>
      </w:r>
      <w:proofErr w:type="spellEnd"/>
      <w:r w:rsidRPr="004A2AE3">
        <w:rPr>
          <w:rFonts w:ascii="Verdana" w:eastAsia="Times New Roman" w:hAnsi="Verdana" w:cs="Times New Roman"/>
          <w:color w:val="010101"/>
          <w:sz w:val="20"/>
          <w:szCs w:val="20"/>
          <w:lang w:val="en" w:eastAsia="bg-BG"/>
        </w:rPr>
        <w:t>:</w:t>
      </w:r>
    </w:p>
    <w:p w:rsid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lang w:eastAsia="bg-BG"/>
        </w:rPr>
      </w:pPr>
      <w:r w:rsidRPr="00DF3E2F">
        <w:rPr>
          <w:rFonts w:ascii="Verdana" w:eastAsia="Times New Roman" w:hAnsi="Verdana" w:cs="Times New Roman"/>
          <w:color w:val="010101"/>
          <w:lang w:val="en" w:eastAsia="bg-BG"/>
        </w:rPr>
        <w:t>(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Резултата</w:t>
      </w:r>
      <w:proofErr w:type="spellEnd"/>
      <w:r w:rsidRPr="00DF3E2F">
        <w:rPr>
          <w:rFonts w:ascii="Verdana" w:eastAsia="Times New Roman" w:hAnsi="Verdana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от</w:t>
      </w:r>
      <w:proofErr w:type="spellEnd"/>
      <w:r w:rsidRPr="00DF3E2F">
        <w:rPr>
          <w:rFonts w:ascii="Verdana" w:eastAsia="Times New Roman" w:hAnsi="Verdana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теста</w:t>
      </w:r>
      <w:proofErr w:type="spellEnd"/>
      <w:r w:rsidRPr="00DF3E2F">
        <w:rPr>
          <w:rFonts w:ascii="Verdana" w:eastAsia="Times New Roman" w:hAnsi="Verdana" w:cs="Times New Roman"/>
          <w:color w:val="010101"/>
          <w:lang w:val="en" w:eastAsia="bg-BG"/>
        </w:rPr>
        <w:t xml:space="preserve"> x 3) + (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Резултата</w:t>
      </w:r>
      <w:proofErr w:type="spellEnd"/>
      <w:r w:rsidRPr="00DF3E2F">
        <w:rPr>
          <w:rFonts w:ascii="Verdana" w:eastAsia="Times New Roman" w:hAnsi="Verdana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от</w:t>
      </w:r>
      <w:proofErr w:type="spellEnd"/>
      <w:r w:rsidRPr="00DF3E2F">
        <w:rPr>
          <w:rFonts w:ascii="Verdana" w:eastAsia="Times New Roman" w:hAnsi="Verdana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интервюто</w:t>
      </w:r>
      <w:proofErr w:type="spellEnd"/>
      <w:r w:rsidRPr="00DF3E2F">
        <w:rPr>
          <w:rFonts w:ascii="Verdana" w:eastAsia="Times New Roman" w:hAnsi="Verdana" w:cs="Times New Roman"/>
          <w:color w:val="010101"/>
          <w:lang w:val="en" w:eastAsia="bg-BG"/>
        </w:rPr>
        <w:t xml:space="preserve"> x 5) = 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Окончателен</w:t>
      </w:r>
      <w:proofErr w:type="spellEnd"/>
      <w:r w:rsidRPr="00DF3E2F">
        <w:rPr>
          <w:rFonts w:ascii="Verdana" w:eastAsia="Times New Roman" w:hAnsi="Verdana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Verdana" w:eastAsia="Times New Roman" w:hAnsi="Verdana" w:cs="Times New Roman"/>
          <w:color w:val="010101"/>
          <w:lang w:val="en" w:eastAsia="bg-BG"/>
        </w:rPr>
        <w:t>резултат</w:t>
      </w:r>
      <w:proofErr w:type="spellEnd"/>
    </w:p>
    <w:p w:rsidR="00D771DD" w:rsidRPr="00D771DD" w:rsidRDefault="00D771DD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lang w:eastAsia="bg-BG"/>
        </w:rPr>
      </w:pPr>
    </w:p>
    <w:p w:rsidR="00E67C2D" w:rsidRPr="00DF3E2F" w:rsidRDefault="004A2AE3" w:rsidP="00E67C2D">
      <w:pPr>
        <w:tabs>
          <w:tab w:val="left" w:pos="2865"/>
        </w:tabs>
        <w:rPr>
          <w:rFonts w:ascii="Times New Roman" w:hAnsi="Times New Roman" w:cs="Times New Roman"/>
        </w:rPr>
      </w:pP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Допуснатите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кандидати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трябва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да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се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явят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на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тест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на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r w:rsidRPr="00DF3E2F">
        <w:rPr>
          <w:rFonts w:ascii="Times New Roman" w:eastAsia="Times New Roman" w:hAnsi="Times New Roman" w:cs="Times New Roman"/>
          <w:b/>
          <w:bCs/>
          <w:color w:val="010101"/>
          <w:lang w:val="en" w:eastAsia="bg-BG"/>
        </w:rPr>
        <w:t>1</w:t>
      </w:r>
      <w:r w:rsidR="00C6770F" w:rsidRPr="00DF3E2F">
        <w:rPr>
          <w:rFonts w:ascii="Times New Roman" w:eastAsia="Times New Roman" w:hAnsi="Times New Roman" w:cs="Times New Roman"/>
          <w:b/>
          <w:bCs/>
          <w:color w:val="010101"/>
          <w:lang w:eastAsia="bg-BG"/>
        </w:rPr>
        <w:t>0</w:t>
      </w:r>
      <w:r w:rsidRPr="00DF3E2F">
        <w:rPr>
          <w:rFonts w:ascii="Times New Roman" w:eastAsia="Times New Roman" w:hAnsi="Times New Roman" w:cs="Times New Roman"/>
          <w:b/>
          <w:bCs/>
          <w:color w:val="010101"/>
          <w:lang w:val="en" w:eastAsia="bg-BG"/>
        </w:rPr>
        <w:t>.0</w:t>
      </w:r>
      <w:r w:rsidR="00C6770F" w:rsidRPr="00DF3E2F">
        <w:rPr>
          <w:rFonts w:ascii="Times New Roman" w:eastAsia="Times New Roman" w:hAnsi="Times New Roman" w:cs="Times New Roman"/>
          <w:b/>
          <w:bCs/>
          <w:color w:val="010101"/>
          <w:lang w:eastAsia="bg-BG"/>
        </w:rPr>
        <w:t>6</w:t>
      </w:r>
      <w:r w:rsidRPr="00DF3E2F">
        <w:rPr>
          <w:rFonts w:ascii="Times New Roman" w:eastAsia="Times New Roman" w:hAnsi="Times New Roman" w:cs="Times New Roman"/>
          <w:b/>
          <w:bCs/>
          <w:color w:val="010101"/>
          <w:lang w:val="en" w:eastAsia="bg-BG"/>
        </w:rPr>
        <w:t>.2020 г. (</w:t>
      </w:r>
      <w:r w:rsidR="00C6770F" w:rsidRPr="00DF3E2F">
        <w:rPr>
          <w:rFonts w:ascii="Times New Roman" w:eastAsia="Times New Roman" w:hAnsi="Times New Roman" w:cs="Times New Roman"/>
          <w:b/>
          <w:bCs/>
          <w:color w:val="010101"/>
          <w:lang w:eastAsia="bg-BG"/>
        </w:rPr>
        <w:t>сряда</w:t>
      </w:r>
      <w:r w:rsidRPr="00DF3E2F">
        <w:rPr>
          <w:rFonts w:ascii="Times New Roman" w:eastAsia="Times New Roman" w:hAnsi="Times New Roman" w:cs="Times New Roman"/>
          <w:b/>
          <w:bCs/>
          <w:color w:val="010101"/>
          <w:lang w:val="en" w:eastAsia="bg-BG"/>
        </w:rPr>
        <w:t>)</w:t>
      </w:r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proofErr w:type="spellStart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>от</w:t>
      </w:r>
      <w:proofErr w:type="spellEnd"/>
      <w:r w:rsidRPr="00DF3E2F">
        <w:rPr>
          <w:rFonts w:ascii="Times New Roman" w:eastAsia="Times New Roman" w:hAnsi="Times New Roman" w:cs="Times New Roman"/>
          <w:color w:val="010101"/>
          <w:lang w:val="en" w:eastAsia="bg-BG"/>
        </w:rPr>
        <w:t xml:space="preserve"> </w:t>
      </w:r>
      <w:r w:rsidRPr="00DF3E2F">
        <w:rPr>
          <w:rFonts w:ascii="Times New Roman" w:eastAsia="Times New Roman" w:hAnsi="Times New Roman" w:cs="Times New Roman"/>
          <w:b/>
          <w:bCs/>
          <w:color w:val="010101"/>
          <w:lang w:val="en" w:eastAsia="bg-BG"/>
        </w:rPr>
        <w:t>10.</w:t>
      </w:r>
      <w:r w:rsidR="00C6770F" w:rsidRPr="00DF3E2F">
        <w:rPr>
          <w:rFonts w:ascii="Times New Roman" w:eastAsia="Times New Roman" w:hAnsi="Times New Roman" w:cs="Times New Roman"/>
          <w:b/>
          <w:bCs/>
          <w:color w:val="010101"/>
          <w:lang w:eastAsia="bg-BG"/>
        </w:rPr>
        <w:t>0</w:t>
      </w:r>
      <w:r w:rsidRPr="00DF3E2F">
        <w:rPr>
          <w:rFonts w:ascii="Times New Roman" w:eastAsia="Times New Roman" w:hAnsi="Times New Roman" w:cs="Times New Roman"/>
          <w:b/>
          <w:bCs/>
          <w:color w:val="010101"/>
          <w:lang w:val="en" w:eastAsia="bg-BG"/>
        </w:rPr>
        <w:t xml:space="preserve">0 </w:t>
      </w:r>
      <w:proofErr w:type="gramStart"/>
      <w:r w:rsidR="00E67C2D" w:rsidRPr="00DF3E2F">
        <w:rPr>
          <w:rFonts w:ascii="Times New Roman" w:hAnsi="Times New Roman" w:cs="Times New Roman"/>
        </w:rPr>
        <w:t>часа ,</w:t>
      </w:r>
      <w:proofErr w:type="gramEnd"/>
      <w:r w:rsidR="00E67C2D" w:rsidRPr="00DF3E2F">
        <w:rPr>
          <w:rFonts w:ascii="Times New Roman" w:hAnsi="Times New Roman" w:cs="Times New Roman"/>
        </w:rPr>
        <w:t xml:space="preserve"> в сградата на Общинска администрация –Борино, ул.Христо Ботев“ №1, етаж 3, заседателна зала на общинска администрация Борино. </w:t>
      </w:r>
    </w:p>
    <w:p w:rsidR="004A2AE3" w:rsidRPr="004A2AE3" w:rsidRDefault="004A2AE3" w:rsidP="004A2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101"/>
          <w:sz w:val="17"/>
          <w:szCs w:val="17"/>
          <w:lang w:val="en" w:eastAsia="bg-BG"/>
        </w:rPr>
      </w:pPr>
    </w:p>
    <w:p w:rsidR="0075162D" w:rsidRPr="009304B6" w:rsidRDefault="0075162D" w:rsidP="009304B6">
      <w:pPr>
        <w:pStyle w:val="a3"/>
        <w:spacing w:before="120" w:line="360" w:lineRule="auto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Style w:val="a4"/>
          <w:rFonts w:ascii="Verdana" w:hAnsi="Verdana" w:cs="Helvetica"/>
          <w:color w:val="333333"/>
          <w:sz w:val="20"/>
          <w:szCs w:val="20"/>
        </w:rPr>
        <w:t>ИЗТОЧНИЦИ НА ИНФОРМАЦИЯ ЗА САМОПОДГОТОВКА НА КАНДИДАТИТЕ</w:t>
      </w:r>
    </w:p>
    <w:p w:rsidR="0075162D" w:rsidRPr="009304B6" w:rsidRDefault="0075162D" w:rsidP="0075162D">
      <w:pPr>
        <w:pStyle w:val="a3"/>
        <w:spacing w:before="120" w:line="360" w:lineRule="auto"/>
        <w:jc w:val="center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Style w:val="a5"/>
          <w:rFonts w:ascii="Verdana" w:hAnsi="Verdana" w:cs="Helvetica"/>
          <w:b/>
          <w:bCs/>
          <w:color w:val="333333"/>
          <w:sz w:val="20"/>
          <w:szCs w:val="20"/>
        </w:rPr>
        <w:t xml:space="preserve">за длъжността началник на отдел „ТСУ и ОС” </w:t>
      </w:r>
    </w:p>
    <w:p w:rsidR="0075162D" w:rsidRPr="009304B6" w:rsidRDefault="0075162D" w:rsidP="0075162D">
      <w:pPr>
        <w:pStyle w:val="a3"/>
        <w:spacing w:before="120" w:line="360" w:lineRule="auto"/>
        <w:jc w:val="center"/>
        <w:rPr>
          <w:rStyle w:val="a5"/>
          <w:rFonts w:ascii="Verdana" w:hAnsi="Verdana" w:cs="Helvetica"/>
          <w:b/>
          <w:bCs/>
          <w:color w:val="333333"/>
          <w:sz w:val="20"/>
          <w:szCs w:val="20"/>
        </w:rPr>
      </w:pPr>
      <w:r w:rsidRPr="009304B6">
        <w:rPr>
          <w:rStyle w:val="a5"/>
          <w:rFonts w:ascii="Verdana" w:hAnsi="Verdana" w:cs="Helvetica"/>
          <w:b/>
          <w:bCs/>
          <w:color w:val="333333"/>
          <w:sz w:val="20"/>
          <w:szCs w:val="20"/>
        </w:rPr>
        <w:t>в Общинска администрация – Борино</w:t>
      </w:r>
    </w:p>
    <w:p w:rsidR="009304B6" w:rsidRPr="009304B6" w:rsidRDefault="009304B6" w:rsidP="0075162D">
      <w:pPr>
        <w:pStyle w:val="a3"/>
        <w:spacing w:before="120" w:line="360" w:lineRule="auto"/>
        <w:jc w:val="center"/>
        <w:rPr>
          <w:rFonts w:ascii="Verdana" w:hAnsi="Verdana" w:cs="Helvetica"/>
          <w:color w:val="333333"/>
          <w:sz w:val="18"/>
          <w:szCs w:val="18"/>
        </w:rPr>
      </w:pP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Конституция на Република България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proofErr w:type="spellStart"/>
      <w:r w:rsidRPr="009304B6">
        <w:rPr>
          <w:rFonts w:ascii="Verdana" w:hAnsi="Verdana" w:cs="Helvetica"/>
          <w:color w:val="333333"/>
          <w:sz w:val="20"/>
          <w:szCs w:val="20"/>
        </w:rPr>
        <w:t>Административнопроцесуален</w:t>
      </w:r>
      <w:proofErr w:type="spellEnd"/>
      <w:r w:rsidRPr="009304B6">
        <w:rPr>
          <w:rFonts w:ascii="Verdana" w:hAnsi="Verdana" w:cs="Helvetica"/>
          <w:color w:val="333333"/>
          <w:sz w:val="20"/>
          <w:szCs w:val="20"/>
        </w:rPr>
        <w:t xml:space="preserve"> кодекс</w:t>
      </w:r>
    </w:p>
    <w:p w:rsidR="0075162D" w:rsidRPr="009304B6" w:rsidRDefault="0075162D" w:rsidP="0075162D">
      <w:pPr>
        <w:pStyle w:val="a3"/>
        <w:spacing w:line="360" w:lineRule="auto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Данъчно-осигурителен процесуален кодекс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Кодекс на труда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Закон за администрацията</w:t>
      </w:r>
    </w:p>
    <w:p w:rsidR="0075162D" w:rsidRPr="009304B6" w:rsidRDefault="0075162D" w:rsidP="0075162D">
      <w:pPr>
        <w:pStyle w:val="a3"/>
        <w:spacing w:line="360" w:lineRule="auto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Закон за местното самоуправление и местната администрация</w:t>
      </w:r>
    </w:p>
    <w:p w:rsidR="0075162D" w:rsidRPr="009304B6" w:rsidRDefault="0075162D" w:rsidP="0075162D">
      <w:pPr>
        <w:pStyle w:val="a3"/>
        <w:spacing w:line="360" w:lineRule="auto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Закон за местните данъци и такси</w:t>
      </w:r>
    </w:p>
    <w:p w:rsidR="0075162D" w:rsidRPr="009304B6" w:rsidRDefault="0075162D" w:rsidP="0075162D">
      <w:pPr>
        <w:pStyle w:val="a3"/>
        <w:spacing w:line="360" w:lineRule="auto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Закон за административните нарушения и наказания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Закон за държавния служител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Закон за достъп до обществената информация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Закона за защита на личните данни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Наредба за определянето и администрирането на местните такси и цени на услуги в Община Девин</w:t>
      </w:r>
    </w:p>
    <w:p w:rsidR="0075162D" w:rsidRPr="009304B6" w:rsidRDefault="0075162D" w:rsidP="0075162D">
      <w:pPr>
        <w:pStyle w:val="a3"/>
        <w:spacing w:line="360" w:lineRule="auto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Наредба за определяне размера на местните данъци на територията на Община Девин.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Наредба за условията и реда за оценяване изпълнението на служителите в държавната администрация</w:t>
      </w:r>
    </w:p>
    <w:p w:rsidR="0075162D" w:rsidRPr="009304B6" w:rsidRDefault="0075162D" w:rsidP="0075162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Fonts w:ascii="Verdana" w:hAnsi="Verdana" w:cs="Helvetica"/>
          <w:color w:val="333333"/>
          <w:sz w:val="20"/>
          <w:szCs w:val="20"/>
        </w:rPr>
        <w:t>Кодекс за поведението на служителите в администрацията</w:t>
      </w:r>
    </w:p>
    <w:p w:rsidR="0075162D" w:rsidRPr="009304B6" w:rsidRDefault="0075162D" w:rsidP="0075162D">
      <w:pPr>
        <w:pStyle w:val="a3"/>
        <w:spacing w:before="120"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  <w:r w:rsidRPr="009304B6">
        <w:rPr>
          <w:rStyle w:val="a4"/>
          <w:rFonts w:ascii="Verdana" w:hAnsi="Verdana" w:cs="Helvetica"/>
          <w:color w:val="333333"/>
          <w:sz w:val="20"/>
          <w:szCs w:val="20"/>
        </w:rPr>
        <w:lastRenderedPageBreak/>
        <w:t>Полезни връзки:</w:t>
      </w:r>
    </w:p>
    <w:p w:rsidR="006B65A1" w:rsidRDefault="0075162D" w:rsidP="00E237A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9304B6">
        <w:rPr>
          <w:rStyle w:val="a4"/>
          <w:rFonts w:ascii="Verdana" w:hAnsi="Verdana" w:cs="Helvetica"/>
          <w:color w:val="333333"/>
          <w:sz w:val="20"/>
          <w:szCs w:val="20"/>
        </w:rPr>
        <w:t>Официални интернет страници</w:t>
      </w:r>
      <w:r w:rsidRPr="009304B6">
        <w:rPr>
          <w:rFonts w:ascii="Verdana" w:hAnsi="Verdana" w:cs="Helvetica"/>
          <w:color w:val="333333"/>
          <w:sz w:val="20"/>
          <w:szCs w:val="20"/>
        </w:rPr>
        <w:t xml:space="preserve"> на българското правителство и на министерствата; на Областна администрация – Смолян и на Община Борино – </w:t>
      </w:r>
      <w:hyperlink r:id="rId5" w:history="1">
        <w:r w:rsidR="00D771DD" w:rsidRPr="0059462A">
          <w:rPr>
            <w:rStyle w:val="a6"/>
            <w:rFonts w:ascii="Verdana" w:hAnsi="Verdana" w:cs="Helvetica"/>
            <w:sz w:val="20"/>
            <w:szCs w:val="20"/>
          </w:rPr>
          <w:t>www.</w:t>
        </w:r>
        <w:r w:rsidR="00D771DD" w:rsidRPr="0059462A">
          <w:rPr>
            <w:rStyle w:val="a6"/>
            <w:rFonts w:ascii="Verdana" w:hAnsi="Verdana" w:cs="Helvetica"/>
            <w:sz w:val="20"/>
            <w:szCs w:val="20"/>
            <w:lang w:val="en-US"/>
          </w:rPr>
          <w:t>borino</w:t>
        </w:r>
        <w:r w:rsidR="00D771DD" w:rsidRPr="0059462A">
          <w:rPr>
            <w:rStyle w:val="a6"/>
            <w:rFonts w:ascii="Verdana" w:hAnsi="Verdana" w:cs="Helvetica"/>
            <w:sz w:val="20"/>
            <w:szCs w:val="20"/>
          </w:rPr>
          <w:t>.</w:t>
        </w:r>
        <w:proofErr w:type="spellStart"/>
        <w:r w:rsidR="00D771DD" w:rsidRPr="0059462A">
          <w:rPr>
            <w:rStyle w:val="a6"/>
            <w:rFonts w:ascii="Verdana" w:hAnsi="Verdana" w:cs="Helvetica"/>
            <w:sz w:val="20"/>
            <w:szCs w:val="20"/>
          </w:rPr>
          <w:t>bg</w:t>
        </w:r>
        <w:proofErr w:type="spellEnd"/>
      </w:hyperlink>
      <w:r w:rsidRPr="009304B6">
        <w:rPr>
          <w:rFonts w:ascii="Verdana" w:hAnsi="Verdana" w:cs="Helvetica"/>
          <w:color w:val="333333"/>
          <w:sz w:val="20"/>
          <w:szCs w:val="20"/>
        </w:rPr>
        <w:t>.</w:t>
      </w:r>
    </w:p>
    <w:p w:rsidR="00D771DD" w:rsidRDefault="00D771DD" w:rsidP="00E237A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D771DD" w:rsidRDefault="00D771DD" w:rsidP="00E237AD">
      <w:pPr>
        <w:pStyle w:val="a3"/>
        <w:spacing w:line="360" w:lineRule="auto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D771DD" w:rsidRDefault="00D771DD" w:rsidP="00D771DD">
      <w:pPr>
        <w:rPr>
          <w:lang w:eastAsia="bg-BG"/>
        </w:rPr>
      </w:pPr>
      <w:bookmarkStart w:id="0" w:name="_GoBack"/>
      <w:bookmarkEnd w:id="0"/>
    </w:p>
    <w:sectPr w:rsidR="00D7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07"/>
    <w:rsid w:val="00131275"/>
    <w:rsid w:val="004A2AE3"/>
    <w:rsid w:val="004E09EC"/>
    <w:rsid w:val="006B65A1"/>
    <w:rsid w:val="006F4DFD"/>
    <w:rsid w:val="00711D64"/>
    <w:rsid w:val="0075162D"/>
    <w:rsid w:val="009304B6"/>
    <w:rsid w:val="00A21781"/>
    <w:rsid w:val="00A7442A"/>
    <w:rsid w:val="00AD7D64"/>
    <w:rsid w:val="00C6770F"/>
    <w:rsid w:val="00D7704F"/>
    <w:rsid w:val="00D771DD"/>
    <w:rsid w:val="00DF3E2F"/>
    <w:rsid w:val="00E237AD"/>
    <w:rsid w:val="00E56307"/>
    <w:rsid w:val="00E65FB1"/>
    <w:rsid w:val="00E67C2D"/>
    <w:rsid w:val="00EC4F7C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62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162D"/>
    <w:rPr>
      <w:b/>
      <w:bCs/>
    </w:rPr>
  </w:style>
  <w:style w:type="character" w:styleId="a5">
    <w:name w:val="Emphasis"/>
    <w:basedOn w:val="a0"/>
    <w:uiPriority w:val="20"/>
    <w:qFormat/>
    <w:rsid w:val="0075162D"/>
    <w:rPr>
      <w:i/>
      <w:iCs/>
    </w:rPr>
  </w:style>
  <w:style w:type="character" w:styleId="a6">
    <w:name w:val="Hyperlink"/>
    <w:basedOn w:val="a0"/>
    <w:uiPriority w:val="99"/>
    <w:unhideWhenUsed/>
    <w:rsid w:val="00D7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62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162D"/>
    <w:rPr>
      <w:b/>
      <w:bCs/>
    </w:rPr>
  </w:style>
  <w:style w:type="character" w:styleId="a5">
    <w:name w:val="Emphasis"/>
    <w:basedOn w:val="a0"/>
    <w:uiPriority w:val="20"/>
    <w:qFormat/>
    <w:rsid w:val="0075162D"/>
    <w:rPr>
      <w:i/>
      <w:iCs/>
    </w:rPr>
  </w:style>
  <w:style w:type="character" w:styleId="a6">
    <w:name w:val="Hyperlink"/>
    <w:basedOn w:val="a0"/>
    <w:uiPriority w:val="99"/>
    <w:unhideWhenUsed/>
    <w:rsid w:val="00D7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609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in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ObA-Rumi</dc:creator>
  <cp:keywords/>
  <dc:description/>
  <cp:lastModifiedBy>USER</cp:lastModifiedBy>
  <cp:revision>21</cp:revision>
  <dcterms:created xsi:type="dcterms:W3CDTF">2020-06-04T06:34:00Z</dcterms:created>
  <dcterms:modified xsi:type="dcterms:W3CDTF">2020-06-15T10:07:00Z</dcterms:modified>
</cp:coreProperties>
</file>