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FB" w:rsidRPr="00743A0D" w:rsidRDefault="000125FB" w:rsidP="00743A0D">
      <w:pPr>
        <w:pStyle w:val="BodyText"/>
        <w:kinsoku w:val="0"/>
        <w:overflowPunct w:val="0"/>
        <w:spacing w:line="360" w:lineRule="auto"/>
        <w:ind w:left="0"/>
        <w:jc w:val="center"/>
        <w:rPr>
          <w:rFonts w:ascii="Times New Roman" w:hAnsi="Times New Roman"/>
          <w:b/>
          <w:lang w:val="bg-BG"/>
        </w:rPr>
      </w:pPr>
      <w:r w:rsidRPr="00743A0D">
        <w:rPr>
          <w:rFonts w:ascii="Times New Roman" w:hAnsi="Times New Roman"/>
          <w:b/>
          <w:lang w:val="bg-BG"/>
        </w:rPr>
        <w:t>МЕТОДИКА ЗА ОПРЕДЕЛЯНЕ НА КОМПЛЕКСНАТА ОЦЕНКА НА ОФЕРТИТЕ</w:t>
      </w:r>
    </w:p>
    <w:p w:rsidR="000125FB" w:rsidRPr="00743A0D" w:rsidRDefault="000125FB" w:rsidP="00EF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A0D">
        <w:rPr>
          <w:rFonts w:ascii="Times New Roman" w:hAnsi="Times New Roman"/>
          <w:sz w:val="24"/>
          <w:szCs w:val="24"/>
        </w:rPr>
        <w:t xml:space="preserve">Съгласно критерия, посочен в раздел </w:t>
      </w:r>
      <w:r w:rsidR="00743A0D" w:rsidRPr="00743A0D">
        <w:rPr>
          <w:rFonts w:ascii="Times New Roman" w:hAnsi="Times New Roman"/>
          <w:sz w:val="24"/>
          <w:szCs w:val="24"/>
        </w:rPr>
        <w:t>IV.2.</w:t>
      </w:r>
      <w:r w:rsidRPr="00743A0D">
        <w:rPr>
          <w:rFonts w:ascii="Times New Roman" w:hAnsi="Times New Roman"/>
          <w:sz w:val="24"/>
          <w:szCs w:val="24"/>
        </w:rPr>
        <w:t>1) от обявлението, а именно: икономически най-изгодна оферта, във връзка с чл. 37, ал. 1, т. 2 от Закона за обществените поръчки, възложителят ще определи изпълнителя на настоящата обществена поръчка въз основа на комплексната оценка на офертите съгласно настоящата методика за оценка.</w:t>
      </w:r>
      <w:r w:rsidR="00ED42C1">
        <w:rPr>
          <w:rFonts w:ascii="Times New Roman" w:hAnsi="Times New Roman"/>
          <w:sz w:val="24"/>
          <w:szCs w:val="24"/>
        </w:rPr>
        <w:t xml:space="preserve"> Настоящата методик</w:t>
      </w:r>
      <w:r w:rsidR="00EF21E9">
        <w:rPr>
          <w:rFonts w:ascii="Times New Roman" w:hAnsi="Times New Roman"/>
          <w:sz w:val="24"/>
          <w:szCs w:val="24"/>
        </w:rPr>
        <w:t>а ще се прилага при оценката за всяка от</w:t>
      </w:r>
      <w:r w:rsidR="00ED42C1">
        <w:rPr>
          <w:rFonts w:ascii="Times New Roman" w:hAnsi="Times New Roman"/>
          <w:sz w:val="24"/>
          <w:szCs w:val="24"/>
        </w:rPr>
        <w:t xml:space="preserve"> обособени</w:t>
      </w:r>
      <w:r w:rsidR="00EF21E9">
        <w:rPr>
          <w:rFonts w:ascii="Times New Roman" w:hAnsi="Times New Roman"/>
          <w:sz w:val="24"/>
          <w:szCs w:val="24"/>
        </w:rPr>
        <w:t>те</w:t>
      </w:r>
      <w:bookmarkStart w:id="0" w:name="_GoBack"/>
      <w:bookmarkEnd w:id="0"/>
      <w:r w:rsidR="00ED42C1">
        <w:rPr>
          <w:rFonts w:ascii="Times New Roman" w:hAnsi="Times New Roman"/>
          <w:sz w:val="24"/>
          <w:szCs w:val="24"/>
        </w:rPr>
        <w:t xml:space="preserve"> позиции.</w:t>
      </w:r>
    </w:p>
    <w:p w:rsidR="00743A0D" w:rsidRDefault="00743A0D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A0D">
        <w:rPr>
          <w:rFonts w:ascii="Times New Roman" w:hAnsi="Times New Roman"/>
          <w:sz w:val="24"/>
          <w:szCs w:val="24"/>
        </w:rPr>
        <w:t>Класирането на допуснатите до оценка оферти се на база получената от съответната оферта „Комплексна оценка” (КО) по низходящ ред на получената КО.</w:t>
      </w:r>
    </w:p>
    <w:p w:rsidR="00743A0D" w:rsidRDefault="00743A0D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A0D">
        <w:rPr>
          <w:rFonts w:ascii="Times New Roman" w:hAnsi="Times New Roman"/>
          <w:sz w:val="24"/>
          <w:szCs w:val="24"/>
        </w:rPr>
        <w:t>На първо място се класира участникът, получил най-висока комплексна оценка на офертата.</w:t>
      </w: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Pr="00743A0D" w:rsidRDefault="00D635CC" w:rsidP="000125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Критерий за оценка</w:t>
      </w:r>
      <w:r w:rsidR="000125FB" w:rsidRPr="00743A0D">
        <w:rPr>
          <w:rFonts w:ascii="Times New Roman" w:hAnsi="Times New Roman"/>
          <w:b/>
          <w:sz w:val="24"/>
          <w:szCs w:val="24"/>
        </w:rPr>
        <w:t xml:space="preserve"> на предложенията</w:t>
      </w: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A0D">
        <w:rPr>
          <w:rFonts w:ascii="Times New Roman" w:hAnsi="Times New Roman"/>
          <w:sz w:val="24"/>
          <w:szCs w:val="24"/>
        </w:rPr>
        <w:t>Оценките по отделните показатели се представят в числово изражение с точност до втория знак след десетичната запетая</w:t>
      </w:r>
      <w:r w:rsidR="00743A0D">
        <w:rPr>
          <w:rFonts w:ascii="Times New Roman" w:hAnsi="Times New Roman"/>
          <w:sz w:val="24"/>
          <w:szCs w:val="24"/>
        </w:rPr>
        <w:t>, когато е приложимо</w:t>
      </w:r>
      <w:r w:rsidRPr="00743A0D">
        <w:rPr>
          <w:rFonts w:ascii="Times New Roman" w:hAnsi="Times New Roman"/>
          <w:sz w:val="24"/>
          <w:szCs w:val="24"/>
        </w:rPr>
        <w:t>.</w:t>
      </w:r>
    </w:p>
    <w:p w:rsidR="00743A0D" w:rsidRDefault="00743A0D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A0D">
        <w:rPr>
          <w:rFonts w:ascii="Times New Roman" w:hAnsi="Times New Roman"/>
          <w:sz w:val="24"/>
          <w:szCs w:val="24"/>
        </w:rPr>
        <w:t>Формулата по която се изчислява „Комплексната оценка“ за всеки участник е:</w:t>
      </w: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25FB" w:rsidRPr="00743A0D" w:rsidRDefault="00743A0D" w:rsidP="000125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 = П1 + П</w:t>
      </w:r>
      <w:r w:rsidR="000125FB" w:rsidRPr="00743A0D">
        <w:rPr>
          <w:rFonts w:ascii="Times New Roman" w:hAnsi="Times New Roman"/>
          <w:b/>
          <w:sz w:val="24"/>
          <w:szCs w:val="24"/>
        </w:rPr>
        <w:t>2,</w:t>
      </w: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A0D">
        <w:rPr>
          <w:rFonts w:ascii="Times New Roman" w:hAnsi="Times New Roman"/>
          <w:b/>
          <w:sz w:val="24"/>
          <w:szCs w:val="24"/>
        </w:rPr>
        <w:t>където:</w:t>
      </w:r>
    </w:p>
    <w:p w:rsidR="000125FB" w:rsidRPr="00743A0D" w:rsidRDefault="00743A0D" w:rsidP="000125F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0125FB" w:rsidRPr="00743A0D">
        <w:rPr>
          <w:rFonts w:ascii="Times New Roman" w:hAnsi="Times New Roman"/>
          <w:b/>
          <w:sz w:val="24"/>
          <w:szCs w:val="24"/>
        </w:rPr>
        <w:t xml:space="preserve">1 </w:t>
      </w:r>
      <w:r w:rsidR="000125FB" w:rsidRPr="00743A0D">
        <w:rPr>
          <w:rFonts w:ascii="Times New Roman" w:hAnsi="Times New Roman"/>
          <w:sz w:val="24"/>
          <w:szCs w:val="24"/>
        </w:rPr>
        <w:t>е показател</w:t>
      </w:r>
      <w:r w:rsidR="000125FB" w:rsidRPr="00743A0D">
        <w:rPr>
          <w:rFonts w:ascii="Times New Roman" w:hAnsi="Times New Roman"/>
          <w:b/>
          <w:sz w:val="24"/>
          <w:szCs w:val="24"/>
        </w:rPr>
        <w:t xml:space="preserve"> „Техническо предложение на участника за изпълнение на поръчката“</w:t>
      </w:r>
    </w:p>
    <w:p w:rsidR="000125FB" w:rsidRPr="00743A0D" w:rsidRDefault="00743A0D" w:rsidP="000125F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0125FB" w:rsidRPr="00743A0D">
        <w:rPr>
          <w:rFonts w:ascii="Times New Roman" w:hAnsi="Times New Roman"/>
          <w:b/>
          <w:sz w:val="24"/>
          <w:szCs w:val="24"/>
        </w:rPr>
        <w:t xml:space="preserve">2 </w:t>
      </w:r>
      <w:r w:rsidR="000125FB" w:rsidRPr="00743A0D">
        <w:rPr>
          <w:rFonts w:ascii="Times New Roman" w:hAnsi="Times New Roman"/>
          <w:sz w:val="24"/>
          <w:szCs w:val="24"/>
        </w:rPr>
        <w:t>е показател</w:t>
      </w:r>
      <w:r w:rsidR="000125FB" w:rsidRPr="00743A0D">
        <w:rPr>
          <w:rFonts w:ascii="Times New Roman" w:hAnsi="Times New Roman"/>
          <w:b/>
          <w:sz w:val="24"/>
          <w:szCs w:val="24"/>
        </w:rPr>
        <w:t xml:space="preserve"> „Ценово предложение за изпълнение на поръчката“</w:t>
      </w:r>
    </w:p>
    <w:p w:rsidR="000125FB" w:rsidRPr="00743A0D" w:rsidRDefault="000125FB" w:rsidP="000125F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25FB" w:rsidRPr="00743A0D" w:rsidRDefault="000125FB" w:rsidP="000125F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A0D">
        <w:rPr>
          <w:rFonts w:ascii="Times New Roman" w:hAnsi="Times New Roman"/>
          <w:b/>
          <w:sz w:val="24"/>
          <w:szCs w:val="24"/>
        </w:rPr>
        <w:t>Максималният брой точки</w:t>
      </w:r>
      <w:r w:rsidR="007F73B8">
        <w:rPr>
          <w:rFonts w:ascii="Times New Roman" w:hAnsi="Times New Roman"/>
          <w:b/>
          <w:sz w:val="24"/>
          <w:szCs w:val="24"/>
        </w:rPr>
        <w:t xml:space="preserve"> (КО)</w:t>
      </w:r>
      <w:r w:rsidRPr="00743A0D">
        <w:rPr>
          <w:rFonts w:ascii="Times New Roman" w:hAnsi="Times New Roman"/>
          <w:b/>
          <w:sz w:val="24"/>
          <w:szCs w:val="24"/>
        </w:rPr>
        <w:t>, които могат да бъдат получени от участник в процедурата е 100 точки!</w:t>
      </w: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A0D">
        <w:rPr>
          <w:rFonts w:ascii="Times New Roman" w:hAnsi="Times New Roman"/>
          <w:b/>
          <w:sz w:val="24"/>
          <w:szCs w:val="24"/>
        </w:rPr>
        <w:t>Оценка по</w:t>
      </w:r>
      <w:r w:rsidRPr="00743A0D">
        <w:rPr>
          <w:rFonts w:ascii="Times New Roman" w:hAnsi="Times New Roman"/>
          <w:sz w:val="24"/>
          <w:szCs w:val="24"/>
        </w:rPr>
        <w:t xml:space="preserve"> </w:t>
      </w:r>
      <w:r w:rsidR="00743A0D">
        <w:rPr>
          <w:rFonts w:ascii="Times New Roman" w:hAnsi="Times New Roman"/>
          <w:b/>
          <w:sz w:val="24"/>
          <w:szCs w:val="24"/>
        </w:rPr>
        <w:t xml:space="preserve">Показател П1 — </w:t>
      </w:r>
      <w:r w:rsidRPr="00743A0D">
        <w:rPr>
          <w:rFonts w:ascii="Times New Roman" w:hAnsi="Times New Roman"/>
          <w:b/>
          <w:sz w:val="24"/>
          <w:szCs w:val="24"/>
        </w:rPr>
        <w:t>Техническо предложени на участника за изпълнение на поръч</w:t>
      </w:r>
      <w:r w:rsidR="00743A0D">
        <w:rPr>
          <w:rFonts w:ascii="Times New Roman" w:hAnsi="Times New Roman"/>
          <w:b/>
          <w:sz w:val="24"/>
          <w:szCs w:val="24"/>
        </w:rPr>
        <w:t xml:space="preserve">ката — максимална стойност - </w:t>
      </w:r>
      <w:r w:rsidR="00635E7C" w:rsidRPr="00D635CC">
        <w:rPr>
          <w:rFonts w:ascii="Times New Roman" w:hAnsi="Times New Roman"/>
          <w:b/>
          <w:sz w:val="24"/>
          <w:szCs w:val="24"/>
        </w:rPr>
        <w:t>5</w:t>
      </w:r>
      <w:r w:rsidR="00743A0D">
        <w:rPr>
          <w:rFonts w:ascii="Times New Roman" w:hAnsi="Times New Roman"/>
          <w:b/>
          <w:sz w:val="24"/>
          <w:szCs w:val="24"/>
        </w:rPr>
        <w:t xml:space="preserve">0 </w:t>
      </w:r>
      <w:r w:rsidR="00D635CC">
        <w:rPr>
          <w:rFonts w:ascii="Times New Roman" w:hAnsi="Times New Roman"/>
          <w:b/>
          <w:sz w:val="24"/>
          <w:szCs w:val="24"/>
        </w:rPr>
        <w:t>точки.</w:t>
      </w:r>
    </w:p>
    <w:p w:rsidR="0035246D" w:rsidRPr="00743A0D" w:rsidRDefault="0035246D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Pr="00743A0D" w:rsidRDefault="00743A0D" w:rsidP="000125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Оценката по Показател П</w:t>
      </w:r>
      <w:r w:rsidR="000125FB" w:rsidRPr="00743A0D">
        <w:rPr>
          <w:rFonts w:ascii="Times New Roman" w:hAnsi="Times New Roman"/>
          <w:sz w:val="24"/>
          <w:szCs w:val="24"/>
        </w:rPr>
        <w:t xml:space="preserve">1, ще се изчислява по формулата: </w:t>
      </w: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A0D">
        <w:rPr>
          <w:rFonts w:ascii="Times New Roman" w:hAnsi="Times New Roman"/>
          <w:sz w:val="24"/>
          <w:szCs w:val="24"/>
        </w:rPr>
        <w:tab/>
      </w:r>
      <w:r w:rsidRPr="00743A0D">
        <w:rPr>
          <w:rFonts w:ascii="Times New Roman" w:hAnsi="Times New Roman"/>
          <w:sz w:val="24"/>
          <w:szCs w:val="24"/>
        </w:rPr>
        <w:tab/>
      </w:r>
      <w:r w:rsidR="00743A0D">
        <w:rPr>
          <w:rFonts w:ascii="Times New Roman" w:hAnsi="Times New Roman"/>
          <w:b/>
          <w:sz w:val="24"/>
          <w:szCs w:val="24"/>
        </w:rPr>
        <w:t>П</w:t>
      </w:r>
      <w:r w:rsidRPr="00743A0D">
        <w:rPr>
          <w:rFonts w:ascii="Times New Roman" w:hAnsi="Times New Roman"/>
          <w:b/>
          <w:sz w:val="24"/>
          <w:szCs w:val="24"/>
        </w:rPr>
        <w:t>1 = K1 + K2,</w:t>
      </w: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A0D">
        <w:rPr>
          <w:rFonts w:ascii="Times New Roman" w:hAnsi="Times New Roman"/>
          <w:sz w:val="24"/>
          <w:szCs w:val="24"/>
        </w:rPr>
        <w:t>Където:</w:t>
      </w: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Pr="00743A0D" w:rsidRDefault="000125FB" w:rsidP="000125FB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43A0D">
        <w:rPr>
          <w:rFonts w:ascii="Times New Roman" w:hAnsi="Times New Roman"/>
          <w:b/>
          <w:sz w:val="24"/>
          <w:szCs w:val="24"/>
        </w:rPr>
        <w:t>Подпоказател K1</w:t>
      </w:r>
      <w:r w:rsidRPr="00743A0D">
        <w:rPr>
          <w:rFonts w:ascii="Times New Roman" w:hAnsi="Times New Roman"/>
          <w:sz w:val="24"/>
          <w:szCs w:val="24"/>
        </w:rPr>
        <w:t xml:space="preserve"> е </w:t>
      </w:r>
      <w:r w:rsidRPr="00743A0D">
        <w:rPr>
          <w:rFonts w:ascii="Times New Roman" w:hAnsi="Times New Roman"/>
          <w:i/>
          <w:sz w:val="24"/>
          <w:szCs w:val="24"/>
        </w:rPr>
        <w:t>Обяснителна записка</w:t>
      </w:r>
    </w:p>
    <w:p w:rsidR="000125FB" w:rsidRPr="00743A0D" w:rsidRDefault="000125FB" w:rsidP="000125FB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3A0D">
        <w:rPr>
          <w:rFonts w:ascii="Times New Roman" w:hAnsi="Times New Roman"/>
          <w:b/>
          <w:sz w:val="24"/>
          <w:szCs w:val="24"/>
        </w:rPr>
        <w:t>Подпоказател К2</w:t>
      </w:r>
      <w:r w:rsidRPr="00743A0D">
        <w:rPr>
          <w:rFonts w:ascii="Times New Roman" w:hAnsi="Times New Roman"/>
          <w:sz w:val="24"/>
          <w:szCs w:val="24"/>
        </w:rPr>
        <w:t xml:space="preserve"> е </w:t>
      </w:r>
      <w:r w:rsidRPr="00743A0D">
        <w:rPr>
          <w:rFonts w:ascii="Times New Roman" w:hAnsi="Times New Roman"/>
          <w:i/>
          <w:sz w:val="24"/>
          <w:szCs w:val="24"/>
        </w:rPr>
        <w:t>Стратегия за управление на риска</w:t>
      </w: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Pr="00743A0D" w:rsidRDefault="000125FB" w:rsidP="00743A0D">
      <w:pPr>
        <w:pStyle w:val="Style5"/>
        <w:widowControl/>
        <w:spacing w:line="360" w:lineRule="auto"/>
        <w:rPr>
          <w:rStyle w:val="FontStyle31"/>
          <w:b/>
          <w:sz w:val="24"/>
          <w:szCs w:val="24"/>
          <w:lang w:eastAsia="en-US"/>
        </w:rPr>
      </w:pPr>
      <w:r w:rsidRPr="00743A0D">
        <w:rPr>
          <w:b/>
        </w:rPr>
        <w:t>Подпоказател K1</w:t>
      </w:r>
      <w:r w:rsidRPr="00743A0D">
        <w:rPr>
          <w:rStyle w:val="FontStyle31"/>
          <w:b/>
          <w:sz w:val="24"/>
          <w:szCs w:val="24"/>
          <w:lang w:eastAsia="en-US"/>
        </w:rPr>
        <w:t>–  Обяснителна</w:t>
      </w:r>
      <w:r w:rsidR="00635E7C" w:rsidRPr="00743A0D">
        <w:rPr>
          <w:rStyle w:val="FontStyle31"/>
          <w:b/>
          <w:sz w:val="24"/>
          <w:szCs w:val="24"/>
          <w:lang w:eastAsia="en-US"/>
        </w:rPr>
        <w:t xml:space="preserve"> записка – максимална стойност </w:t>
      </w:r>
      <w:r w:rsidR="007F73B8">
        <w:rPr>
          <w:rStyle w:val="FontStyle31"/>
          <w:b/>
          <w:sz w:val="24"/>
          <w:szCs w:val="24"/>
          <w:lang w:eastAsia="en-US"/>
        </w:rPr>
        <w:t>25</w:t>
      </w:r>
      <w:r w:rsidRPr="00743A0D">
        <w:rPr>
          <w:rStyle w:val="FontStyle31"/>
          <w:b/>
          <w:sz w:val="24"/>
          <w:szCs w:val="24"/>
          <w:lang w:eastAsia="en-US"/>
        </w:rPr>
        <w:t xml:space="preserve"> точки</w:t>
      </w:r>
    </w:p>
    <w:p w:rsidR="000125FB" w:rsidRPr="00743A0D" w:rsidRDefault="000125FB" w:rsidP="000125FB">
      <w:pPr>
        <w:pStyle w:val="Style5"/>
        <w:widowControl/>
        <w:spacing w:line="240" w:lineRule="auto"/>
        <w:ind w:firstLine="709"/>
        <w:rPr>
          <w:rStyle w:val="FontStyle31"/>
          <w:sz w:val="24"/>
          <w:szCs w:val="24"/>
          <w:lang w:eastAsia="en-US"/>
        </w:rPr>
      </w:pPr>
      <w:r w:rsidRPr="00743A0D">
        <w:rPr>
          <w:rStyle w:val="FontStyle31"/>
          <w:b/>
          <w:sz w:val="24"/>
          <w:szCs w:val="24"/>
          <w:lang w:eastAsia="en-US"/>
        </w:rPr>
        <w:t xml:space="preserve">Обяснителната записка </w:t>
      </w:r>
      <w:r w:rsidRPr="00743A0D">
        <w:rPr>
          <w:rStyle w:val="FontStyle31"/>
          <w:sz w:val="24"/>
          <w:szCs w:val="24"/>
          <w:lang w:eastAsia="en-US"/>
        </w:rPr>
        <w:t xml:space="preserve">се описва </w:t>
      </w:r>
      <w:r w:rsidR="00B61532">
        <w:rPr>
          <w:rStyle w:val="FontStyle31"/>
          <w:sz w:val="24"/>
          <w:szCs w:val="24"/>
          <w:lang w:eastAsia="en-US"/>
        </w:rPr>
        <w:t>към</w:t>
      </w:r>
      <w:r w:rsidRPr="00743A0D">
        <w:rPr>
          <w:rStyle w:val="FontStyle31"/>
          <w:sz w:val="24"/>
          <w:szCs w:val="24"/>
          <w:lang w:eastAsia="en-US"/>
        </w:rPr>
        <w:t xml:space="preserve"> </w:t>
      </w:r>
      <w:r w:rsidRPr="00743A0D">
        <w:rPr>
          <w:rStyle w:val="FontStyle31"/>
          <w:b/>
          <w:i/>
          <w:sz w:val="24"/>
          <w:szCs w:val="24"/>
          <w:u w:val="single"/>
          <w:lang w:eastAsia="en-US"/>
        </w:rPr>
        <w:t>Образец №</w:t>
      </w:r>
      <w:r w:rsidR="00743A0D" w:rsidRPr="00743A0D">
        <w:rPr>
          <w:rStyle w:val="FontStyle31"/>
          <w:b/>
          <w:i/>
          <w:sz w:val="24"/>
          <w:szCs w:val="24"/>
          <w:u w:val="single"/>
          <w:lang w:eastAsia="en-US"/>
        </w:rPr>
        <w:t>9</w:t>
      </w:r>
      <w:r w:rsidRPr="00743A0D">
        <w:rPr>
          <w:rStyle w:val="FontStyle31"/>
          <w:sz w:val="24"/>
          <w:szCs w:val="24"/>
          <w:lang w:eastAsia="en-US"/>
        </w:rPr>
        <w:t xml:space="preserve"> от Документацията за участие – Техническо предложение за изпълнение на поръчката, </w:t>
      </w:r>
      <w:r w:rsidR="00BD28F6">
        <w:rPr>
          <w:rStyle w:val="FontStyle31"/>
          <w:sz w:val="24"/>
          <w:szCs w:val="24"/>
          <w:lang w:eastAsia="en-US"/>
        </w:rPr>
        <w:t>съгласно изискванията за съдържание посочени в указанията за участие, и</w:t>
      </w:r>
      <w:r w:rsidRPr="00743A0D">
        <w:rPr>
          <w:rStyle w:val="FontStyle31"/>
          <w:sz w:val="24"/>
          <w:szCs w:val="24"/>
          <w:lang w:eastAsia="en-US"/>
        </w:rPr>
        <w:t xml:space="preserve"> обхваща следните елементи:</w:t>
      </w:r>
    </w:p>
    <w:p w:rsidR="000125FB" w:rsidRPr="00743A0D" w:rsidRDefault="000125FB" w:rsidP="000125FB">
      <w:pPr>
        <w:pStyle w:val="Style5"/>
        <w:widowControl/>
        <w:numPr>
          <w:ilvl w:val="0"/>
          <w:numId w:val="3"/>
        </w:numPr>
        <w:spacing w:line="240" w:lineRule="auto"/>
        <w:ind w:firstLine="709"/>
        <w:rPr>
          <w:rStyle w:val="FontStyle31"/>
          <w:sz w:val="24"/>
          <w:szCs w:val="24"/>
          <w:lang w:eastAsia="en-US"/>
        </w:rPr>
      </w:pPr>
      <w:r w:rsidRPr="00743A0D">
        <w:rPr>
          <w:rStyle w:val="FontStyle31"/>
          <w:sz w:val="24"/>
          <w:szCs w:val="24"/>
          <w:lang w:eastAsia="en-US"/>
        </w:rPr>
        <w:t>Въведение и встъпителен анализ.</w:t>
      </w:r>
    </w:p>
    <w:p w:rsidR="000125FB" w:rsidRPr="00743A0D" w:rsidRDefault="000125FB" w:rsidP="000125FB">
      <w:pPr>
        <w:pStyle w:val="Style5"/>
        <w:widowControl/>
        <w:numPr>
          <w:ilvl w:val="0"/>
          <w:numId w:val="3"/>
        </w:numPr>
        <w:spacing w:line="240" w:lineRule="auto"/>
        <w:ind w:firstLine="709"/>
        <w:rPr>
          <w:rStyle w:val="FontStyle31"/>
          <w:sz w:val="24"/>
          <w:szCs w:val="24"/>
          <w:lang w:eastAsia="en-US"/>
        </w:rPr>
      </w:pPr>
      <w:r w:rsidRPr="00743A0D">
        <w:rPr>
          <w:lang w:eastAsia="en-US"/>
        </w:rPr>
        <w:t>Стратегия на участника по отношение изпълнението на договора;</w:t>
      </w:r>
    </w:p>
    <w:p w:rsidR="000125FB" w:rsidRPr="00BD28F6" w:rsidRDefault="000125FB" w:rsidP="002E65B5">
      <w:pPr>
        <w:pStyle w:val="Style5"/>
        <w:widowControl/>
        <w:numPr>
          <w:ilvl w:val="0"/>
          <w:numId w:val="3"/>
        </w:numPr>
        <w:spacing w:line="240" w:lineRule="auto"/>
        <w:ind w:firstLine="709"/>
        <w:rPr>
          <w:rStyle w:val="FontStyle31"/>
          <w:sz w:val="24"/>
          <w:szCs w:val="24"/>
        </w:rPr>
      </w:pPr>
      <w:r w:rsidRPr="00BD28F6">
        <w:rPr>
          <w:rStyle w:val="FontStyle31"/>
          <w:sz w:val="24"/>
          <w:szCs w:val="24"/>
          <w:lang w:eastAsia="en-US"/>
        </w:rPr>
        <w:t>График за изпълнение на дейностите</w:t>
      </w:r>
    </w:p>
    <w:p w:rsidR="00743A0D" w:rsidRDefault="000125FB" w:rsidP="00BD28F6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3A0D">
        <w:rPr>
          <w:rStyle w:val="FontStyle31"/>
          <w:sz w:val="24"/>
          <w:szCs w:val="24"/>
        </w:rPr>
        <w:t xml:space="preserve">Всички предложения, допуснати до техническа оценка </w:t>
      </w:r>
      <w:r w:rsidRPr="00743A0D">
        <w:rPr>
          <w:rStyle w:val="FontStyle31"/>
          <w:sz w:val="24"/>
          <w:szCs w:val="24"/>
          <w:u w:val="single"/>
        </w:rPr>
        <w:t xml:space="preserve">се </w:t>
      </w:r>
      <w:r w:rsidRPr="00743A0D">
        <w:rPr>
          <w:rFonts w:ascii="Times New Roman" w:hAnsi="Times New Roman"/>
          <w:bCs/>
          <w:sz w:val="24"/>
          <w:szCs w:val="24"/>
          <w:u w:val="single"/>
        </w:rPr>
        <w:t>подлагат на сравнителен анализ</w:t>
      </w:r>
      <w:r w:rsidRPr="00743A0D">
        <w:rPr>
          <w:rFonts w:ascii="Times New Roman" w:hAnsi="Times New Roman"/>
          <w:bCs/>
          <w:sz w:val="24"/>
          <w:szCs w:val="24"/>
        </w:rPr>
        <w:t xml:space="preserve"> по подпоказател К1 – Обяснителна записка, съпоставят се едно с друго и се оценяват по следните критерии, като комисията посочва обективни мотиви</w:t>
      </w:r>
      <w:r w:rsidR="00743A0D">
        <w:rPr>
          <w:rFonts w:ascii="Times New Roman" w:hAnsi="Times New Roman"/>
          <w:bCs/>
          <w:sz w:val="24"/>
          <w:szCs w:val="24"/>
        </w:rPr>
        <w:t xml:space="preserve"> </w:t>
      </w:r>
      <w:r w:rsidRPr="00743A0D">
        <w:rPr>
          <w:rFonts w:ascii="Times New Roman" w:hAnsi="Times New Roman"/>
          <w:bCs/>
          <w:sz w:val="24"/>
          <w:szCs w:val="24"/>
        </w:rPr>
        <w:t>за присъждане на съответния брой точки</w:t>
      </w:r>
      <w:r w:rsidR="00BD28F6">
        <w:rPr>
          <w:rFonts w:ascii="Times New Roman" w:hAnsi="Times New Roman"/>
          <w:bCs/>
          <w:sz w:val="24"/>
          <w:szCs w:val="24"/>
        </w:rPr>
        <w:t>, при спазване на принципа на равнопоставеност</w:t>
      </w:r>
      <w:r w:rsidRPr="00743A0D">
        <w:rPr>
          <w:rFonts w:ascii="Times New Roman" w:hAnsi="Times New Roman"/>
          <w:bCs/>
          <w:sz w:val="24"/>
          <w:szCs w:val="24"/>
        </w:rPr>
        <w:t>:</w:t>
      </w:r>
      <w:r w:rsidR="00743A0D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191"/>
        <w:gridCol w:w="4761"/>
        <w:gridCol w:w="1412"/>
      </w:tblGrid>
      <w:tr w:rsidR="00B61532" w:rsidRPr="00743A0D" w:rsidTr="00B61532">
        <w:trPr>
          <w:tblHeader/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B61532" w:rsidRPr="00743A0D" w:rsidRDefault="00B61532" w:rsidP="00B61532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31"/>
                <w:b/>
                <w:lang w:eastAsia="en-US"/>
              </w:rPr>
            </w:pPr>
            <w:r>
              <w:rPr>
                <w:rStyle w:val="FontStyle31"/>
                <w:b/>
                <w:lang w:eastAsia="en-US"/>
              </w:rPr>
              <w:lastRenderedPageBreak/>
              <w:t>Подпоказател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61532" w:rsidRPr="00743A0D" w:rsidRDefault="00B61532" w:rsidP="00B61532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31"/>
                <w:b/>
                <w:lang w:eastAsia="en-US"/>
              </w:rPr>
            </w:pPr>
            <w:r w:rsidRPr="00743A0D">
              <w:rPr>
                <w:rStyle w:val="FontStyle31"/>
                <w:b/>
                <w:lang w:eastAsia="en-US"/>
              </w:rPr>
              <w:t>Наименование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B61532" w:rsidRPr="00743A0D" w:rsidRDefault="00B61532" w:rsidP="00B61532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31"/>
                <w:b/>
                <w:lang w:eastAsia="en-US"/>
              </w:rPr>
            </w:pPr>
            <w:r w:rsidRPr="00743A0D">
              <w:rPr>
                <w:rStyle w:val="FontStyle31"/>
                <w:b/>
                <w:lang w:eastAsia="en-US"/>
              </w:rPr>
              <w:t>Обстоятелства, при които се поставят точките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61532" w:rsidRPr="00743A0D" w:rsidRDefault="00B61532" w:rsidP="00B61532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31"/>
                <w:b/>
                <w:lang w:eastAsia="en-US"/>
              </w:rPr>
            </w:pPr>
            <w:r w:rsidRPr="00743A0D">
              <w:rPr>
                <w:rStyle w:val="FontStyle31"/>
                <w:b/>
                <w:lang w:eastAsia="en-US"/>
              </w:rPr>
              <w:t>Брой точки</w:t>
            </w:r>
          </w:p>
        </w:tc>
      </w:tr>
      <w:tr w:rsidR="00B61532" w:rsidRPr="00743A0D" w:rsidTr="00B61532">
        <w:trPr>
          <w:jc w:val="center"/>
        </w:trPr>
        <w:tc>
          <w:tcPr>
            <w:tcW w:w="1483" w:type="dxa"/>
            <w:vMerge w:val="restart"/>
            <w:shd w:val="clear" w:color="auto" w:fill="auto"/>
            <w:vAlign w:val="center"/>
          </w:tcPr>
          <w:p w:rsidR="00B61532" w:rsidRPr="00743A0D" w:rsidRDefault="00B61532" w:rsidP="00B61532">
            <w:pPr>
              <w:pStyle w:val="Style5"/>
              <w:widowControl/>
              <w:spacing w:before="120" w:after="120" w:line="240" w:lineRule="auto"/>
              <w:ind w:left="-6" w:firstLine="6"/>
              <w:jc w:val="left"/>
              <w:rPr>
                <w:rStyle w:val="FontStyle31"/>
                <w:b/>
                <w:lang w:eastAsia="en-US"/>
              </w:rPr>
            </w:pPr>
            <w:r w:rsidRPr="00743A0D">
              <w:rPr>
                <w:rStyle w:val="FontStyle31"/>
                <w:b/>
                <w:lang w:eastAsia="en-US"/>
              </w:rPr>
              <w:t>К1</w:t>
            </w:r>
          </w:p>
        </w:tc>
        <w:tc>
          <w:tcPr>
            <w:tcW w:w="2197" w:type="dxa"/>
            <w:vMerge w:val="restart"/>
            <w:shd w:val="clear" w:color="auto" w:fill="auto"/>
            <w:vAlign w:val="center"/>
          </w:tcPr>
          <w:p w:rsidR="00B61532" w:rsidRPr="00743A0D" w:rsidRDefault="00B61532" w:rsidP="00B55853">
            <w:pPr>
              <w:pStyle w:val="Style5"/>
              <w:widowControl/>
              <w:spacing w:before="120" w:after="120" w:line="240" w:lineRule="auto"/>
              <w:ind w:firstLine="0"/>
              <w:jc w:val="left"/>
              <w:rPr>
                <w:rStyle w:val="FontStyle31"/>
                <w:b/>
                <w:lang w:eastAsia="en-US"/>
              </w:rPr>
            </w:pPr>
            <w:r w:rsidRPr="00743A0D">
              <w:rPr>
                <w:rStyle w:val="FontStyle31"/>
                <w:b/>
                <w:lang w:eastAsia="en-US"/>
              </w:rPr>
              <w:t>Обяснителна записка</w:t>
            </w:r>
          </w:p>
          <w:p w:rsidR="00B61532" w:rsidRPr="00743A0D" w:rsidRDefault="00B61532" w:rsidP="00B55853">
            <w:pPr>
              <w:pStyle w:val="Style5"/>
              <w:widowControl/>
              <w:spacing w:before="120" w:after="120" w:line="240" w:lineRule="auto"/>
              <w:ind w:firstLine="0"/>
              <w:jc w:val="left"/>
              <w:rPr>
                <w:rStyle w:val="FontStyle31"/>
                <w:lang w:eastAsia="en-US"/>
              </w:rPr>
            </w:pPr>
            <w:r w:rsidRPr="00743A0D">
              <w:rPr>
                <w:rStyle w:val="FontStyle31"/>
                <w:lang w:eastAsia="en-US"/>
              </w:rPr>
              <w:t>Точките/оценките са точно фиксирани и се поставят от комисията съобразно указанията в следващата колона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B61532" w:rsidRPr="00743A0D" w:rsidRDefault="00B61532" w:rsidP="00194424">
            <w:pPr>
              <w:pStyle w:val="Style5"/>
              <w:widowControl/>
              <w:spacing w:before="120" w:after="120" w:line="240" w:lineRule="auto"/>
              <w:ind w:firstLine="0"/>
              <w:rPr>
                <w:rStyle w:val="FontStyle31"/>
                <w:lang w:eastAsia="en-US"/>
              </w:rPr>
            </w:pPr>
            <w:r w:rsidRPr="00743A0D">
              <w:rPr>
                <w:rStyle w:val="FontStyle31"/>
                <w:lang w:eastAsia="en-US"/>
              </w:rPr>
              <w:t xml:space="preserve">Комисията поставя </w:t>
            </w:r>
            <w:r w:rsidR="007F73B8">
              <w:rPr>
                <w:rStyle w:val="FontStyle31"/>
                <w:lang w:eastAsia="en-US"/>
              </w:rPr>
              <w:t>25</w:t>
            </w:r>
            <w:r w:rsidRPr="00743A0D">
              <w:rPr>
                <w:rStyle w:val="FontStyle31"/>
                <w:lang w:eastAsia="en-US"/>
              </w:rPr>
              <w:t xml:space="preserve"> т., когато са налице следните </w:t>
            </w:r>
            <w:r>
              <w:rPr>
                <w:rStyle w:val="FontStyle31"/>
                <w:lang w:eastAsia="en-US"/>
              </w:rPr>
              <w:t xml:space="preserve">четири </w:t>
            </w:r>
            <w:r w:rsidRPr="00743A0D">
              <w:rPr>
                <w:rStyle w:val="FontStyle31"/>
                <w:lang w:eastAsia="en-US"/>
              </w:rPr>
              <w:t>обстоятелства</w:t>
            </w:r>
            <w:r>
              <w:rPr>
                <w:rStyle w:val="FontStyle31"/>
                <w:lang w:eastAsia="en-US"/>
              </w:rPr>
              <w:t xml:space="preserve"> в обяснителната записка</w:t>
            </w:r>
            <w:r w:rsidRPr="00743A0D">
              <w:rPr>
                <w:rStyle w:val="FontStyle31"/>
                <w:lang w:eastAsia="en-US"/>
              </w:rPr>
              <w:t>:</w:t>
            </w:r>
          </w:p>
          <w:p w:rsidR="00B61532" w:rsidRPr="00743A0D" w:rsidRDefault="00B61532" w:rsidP="00194424">
            <w:pPr>
              <w:pStyle w:val="Style5"/>
              <w:widowControl/>
              <w:numPr>
                <w:ilvl w:val="0"/>
                <w:numId w:val="4"/>
              </w:numPr>
              <w:spacing w:before="120" w:after="120"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743A0D">
              <w:rPr>
                <w:sz w:val="20"/>
                <w:szCs w:val="20"/>
                <w:lang w:eastAsia="en-US"/>
              </w:rPr>
              <w:t>Описани</w:t>
            </w:r>
            <w:r>
              <w:rPr>
                <w:sz w:val="20"/>
                <w:szCs w:val="20"/>
                <w:lang w:eastAsia="en-US"/>
              </w:rPr>
              <w:t xml:space="preserve"> са всички </w:t>
            </w:r>
            <w:r w:rsidR="00960000">
              <w:rPr>
                <w:sz w:val="20"/>
                <w:szCs w:val="20"/>
                <w:lang w:eastAsia="en-US"/>
              </w:rPr>
              <w:t>задачи/</w:t>
            </w:r>
            <w:r>
              <w:rPr>
                <w:sz w:val="20"/>
                <w:szCs w:val="20"/>
                <w:lang w:eastAsia="en-US"/>
              </w:rPr>
              <w:t>дейности</w:t>
            </w:r>
            <w:r w:rsidRPr="00743A0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от</w:t>
            </w:r>
            <w:r w:rsidRPr="00743A0D">
              <w:rPr>
                <w:bCs/>
                <w:sz w:val="20"/>
                <w:szCs w:val="20"/>
                <w:lang w:eastAsia="en-US"/>
              </w:rPr>
              <w:t xml:space="preserve"> предмета на поръчката,</w:t>
            </w:r>
            <w:r w:rsidRPr="00743A0D">
              <w:rPr>
                <w:sz w:val="20"/>
                <w:szCs w:val="20"/>
                <w:lang w:eastAsia="en-US"/>
              </w:rPr>
              <w:t xml:space="preserve"> които е необходимо да бъдат извършени в срока на договора и са определени страните/институциите, имащи отношение към дейностите, предмет на договора, както и отношенията с тях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B61532" w:rsidRDefault="00B61532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743A0D">
              <w:rPr>
                <w:sz w:val="20"/>
                <w:szCs w:val="20"/>
                <w:lang w:eastAsia="en-US"/>
              </w:rPr>
              <w:t xml:space="preserve">представени са конкретните резултати, които ще се постигнат </w:t>
            </w:r>
            <w:r>
              <w:rPr>
                <w:sz w:val="20"/>
                <w:szCs w:val="20"/>
                <w:lang w:eastAsia="en-US"/>
              </w:rPr>
              <w:t xml:space="preserve">при изпълнението на </w:t>
            </w:r>
            <w:r w:rsidRPr="00743A0D">
              <w:rPr>
                <w:sz w:val="20"/>
                <w:szCs w:val="20"/>
                <w:lang w:eastAsia="en-US"/>
              </w:rPr>
              <w:t>всяка от дейностите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AB799C" w:rsidRPr="00AB799C" w:rsidRDefault="00AB799C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AB799C">
              <w:rPr>
                <w:sz w:val="20"/>
                <w:szCs w:val="20"/>
                <w:lang w:eastAsia="en-US"/>
              </w:rPr>
              <w:t>описани са методите, които ще се използват за осигуряване качественото изпълнение на договора;</w:t>
            </w:r>
          </w:p>
          <w:p w:rsidR="00AB799C" w:rsidRPr="00743A0D" w:rsidRDefault="00AB799C" w:rsidP="00194424">
            <w:pPr>
              <w:pStyle w:val="Style5"/>
              <w:widowControl/>
              <w:numPr>
                <w:ilvl w:val="0"/>
                <w:numId w:val="4"/>
              </w:numPr>
              <w:spacing w:before="120" w:after="120" w:line="240" w:lineRule="auto"/>
              <w:ind w:firstLine="0"/>
              <w:rPr>
                <w:rStyle w:val="FontStyle31"/>
                <w:lang w:eastAsia="en-US"/>
              </w:rPr>
            </w:pPr>
            <w:r w:rsidRPr="00743A0D">
              <w:rPr>
                <w:sz w:val="20"/>
                <w:szCs w:val="20"/>
                <w:lang w:eastAsia="en-US"/>
              </w:rPr>
              <w:t xml:space="preserve">графика на </w:t>
            </w:r>
            <w:r w:rsidR="00E464FF">
              <w:rPr>
                <w:sz w:val="20"/>
                <w:szCs w:val="20"/>
                <w:lang w:eastAsia="en-US"/>
              </w:rPr>
              <w:t>задачите/</w:t>
            </w:r>
            <w:r w:rsidRPr="00743A0D">
              <w:rPr>
                <w:sz w:val="20"/>
                <w:szCs w:val="20"/>
                <w:lang w:eastAsia="en-US"/>
              </w:rPr>
              <w:t xml:space="preserve">дейностите </w:t>
            </w:r>
            <w:r>
              <w:rPr>
                <w:sz w:val="20"/>
                <w:szCs w:val="20"/>
                <w:lang w:eastAsia="en-US"/>
              </w:rPr>
              <w:t xml:space="preserve">е придружен с обосновка, като </w:t>
            </w:r>
            <w:r w:rsidR="00E464FF">
              <w:rPr>
                <w:sz w:val="20"/>
                <w:szCs w:val="20"/>
                <w:lang w:eastAsia="en-US"/>
              </w:rPr>
              <w:t xml:space="preserve">са описани </w:t>
            </w:r>
            <w:r w:rsidRPr="00743A0D">
              <w:rPr>
                <w:sz w:val="20"/>
                <w:szCs w:val="20"/>
                <w:lang w:eastAsia="en-US"/>
              </w:rPr>
              <w:t>допусканията при които е съставен</w:t>
            </w:r>
            <w:r>
              <w:rPr>
                <w:sz w:val="20"/>
                <w:szCs w:val="20"/>
                <w:lang w:eastAsia="en-US"/>
              </w:rPr>
              <w:t>. О</w:t>
            </w:r>
            <w:r w:rsidRPr="00743A0D">
              <w:rPr>
                <w:sz w:val="20"/>
                <w:szCs w:val="20"/>
                <w:lang w:eastAsia="en-US"/>
              </w:rPr>
              <w:t xml:space="preserve">пределени са срокове /продължителност, съгласно действащата нормативна уредба, </w:t>
            </w:r>
            <w:r>
              <w:rPr>
                <w:sz w:val="20"/>
                <w:szCs w:val="20"/>
                <w:lang w:eastAsia="en-US"/>
              </w:rPr>
              <w:t>приложима към проекта, включително специфични насоки/изисквания свързани с източника</w:t>
            </w:r>
            <w:r w:rsidRPr="00743A0D">
              <w:rPr>
                <w:sz w:val="20"/>
                <w:szCs w:val="20"/>
                <w:lang w:eastAsia="en-US"/>
              </w:rPr>
              <w:t xml:space="preserve"> </w:t>
            </w:r>
            <w:r w:rsidR="00B62392">
              <w:rPr>
                <w:sz w:val="20"/>
                <w:szCs w:val="20"/>
                <w:lang w:eastAsia="en-US"/>
              </w:rPr>
              <w:t>на финансиране.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61532" w:rsidRPr="00743A0D" w:rsidRDefault="007F73B8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25</w:t>
            </w:r>
            <w:r w:rsidR="00B61532" w:rsidRPr="00743A0D">
              <w:rPr>
                <w:rStyle w:val="FontStyle31"/>
                <w:lang w:eastAsia="en-US"/>
              </w:rPr>
              <w:t xml:space="preserve"> т.</w:t>
            </w:r>
          </w:p>
          <w:p w:rsidR="00B61532" w:rsidRPr="00743A0D" w:rsidRDefault="00B61532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</w:tr>
      <w:tr w:rsidR="00B61532" w:rsidRPr="00743A0D" w:rsidTr="00B61532">
        <w:trPr>
          <w:jc w:val="center"/>
        </w:trPr>
        <w:tc>
          <w:tcPr>
            <w:tcW w:w="1483" w:type="dxa"/>
            <w:vMerge/>
            <w:shd w:val="clear" w:color="auto" w:fill="auto"/>
            <w:vAlign w:val="center"/>
          </w:tcPr>
          <w:p w:rsidR="00B61532" w:rsidRPr="00743A0D" w:rsidRDefault="00B61532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</w:tcPr>
          <w:p w:rsidR="00B61532" w:rsidRPr="00743A0D" w:rsidRDefault="00B61532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B61532" w:rsidRPr="00743A0D" w:rsidRDefault="00B61532" w:rsidP="00194424">
            <w:pPr>
              <w:pStyle w:val="Style5"/>
              <w:widowControl/>
              <w:spacing w:before="120" w:after="120" w:line="240" w:lineRule="auto"/>
              <w:ind w:firstLine="0"/>
              <w:rPr>
                <w:rStyle w:val="FontStyle31"/>
                <w:lang w:eastAsia="en-US"/>
              </w:rPr>
            </w:pPr>
            <w:r w:rsidRPr="00743A0D">
              <w:rPr>
                <w:rStyle w:val="FontStyle31"/>
                <w:lang w:eastAsia="en-US"/>
              </w:rPr>
              <w:t xml:space="preserve">Комисията поставя </w:t>
            </w:r>
            <w:r w:rsidR="007F73B8">
              <w:rPr>
                <w:rStyle w:val="FontStyle31"/>
                <w:lang w:eastAsia="en-US"/>
              </w:rPr>
              <w:t>19</w:t>
            </w:r>
            <w:r w:rsidRPr="00743A0D">
              <w:rPr>
                <w:rStyle w:val="FontStyle31"/>
                <w:lang w:eastAsia="en-US"/>
              </w:rPr>
              <w:t xml:space="preserve"> т., когато са налице  несъществени пропуски  в обяснителната записка на участника </w:t>
            </w:r>
            <w:r>
              <w:rPr>
                <w:rStyle w:val="FontStyle31"/>
                <w:lang w:eastAsia="en-US"/>
              </w:rPr>
              <w:t>в</w:t>
            </w:r>
            <w:r w:rsidRPr="00743A0D">
              <w:rPr>
                <w:rStyle w:val="FontStyle31"/>
                <w:lang w:eastAsia="en-US"/>
              </w:rPr>
              <w:t xml:space="preserve"> </w:t>
            </w:r>
            <w:r w:rsidRPr="00743A0D">
              <w:rPr>
                <w:rStyle w:val="FontStyle31"/>
                <w:b/>
                <w:lang w:eastAsia="en-US"/>
              </w:rPr>
              <w:t>едно</w:t>
            </w:r>
            <w:r w:rsidRPr="00743A0D">
              <w:rPr>
                <w:rStyle w:val="FontStyle31"/>
                <w:lang w:eastAsia="en-US"/>
              </w:rPr>
              <w:t xml:space="preserve"> от горе посочените </w:t>
            </w:r>
            <w:r>
              <w:rPr>
                <w:rStyle w:val="FontStyle31"/>
                <w:lang w:eastAsia="en-US"/>
              </w:rPr>
              <w:t xml:space="preserve">четири </w:t>
            </w:r>
            <w:r w:rsidRPr="00743A0D">
              <w:rPr>
                <w:rStyle w:val="FontStyle31"/>
                <w:lang w:eastAsia="en-US"/>
              </w:rPr>
              <w:t>обстоятелства.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61532" w:rsidRPr="00743A0D" w:rsidRDefault="007F73B8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19</w:t>
            </w:r>
            <w:r w:rsidR="00B61532" w:rsidRPr="00743A0D">
              <w:rPr>
                <w:rStyle w:val="FontStyle31"/>
                <w:lang w:eastAsia="en-US"/>
              </w:rPr>
              <w:t xml:space="preserve"> т.</w:t>
            </w:r>
          </w:p>
          <w:p w:rsidR="00B61532" w:rsidRPr="00743A0D" w:rsidRDefault="00B61532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</w:tr>
      <w:tr w:rsidR="00B61532" w:rsidRPr="00743A0D" w:rsidTr="00B61532">
        <w:trPr>
          <w:jc w:val="center"/>
        </w:trPr>
        <w:tc>
          <w:tcPr>
            <w:tcW w:w="1483" w:type="dxa"/>
            <w:vMerge/>
            <w:shd w:val="clear" w:color="auto" w:fill="auto"/>
            <w:vAlign w:val="center"/>
          </w:tcPr>
          <w:p w:rsidR="00B61532" w:rsidRPr="00743A0D" w:rsidRDefault="00B61532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</w:tcPr>
          <w:p w:rsidR="00B61532" w:rsidRPr="00743A0D" w:rsidRDefault="00B61532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B61532" w:rsidRPr="00743A0D" w:rsidRDefault="00B61532" w:rsidP="00194424">
            <w:pPr>
              <w:pStyle w:val="Style5"/>
              <w:widowControl/>
              <w:spacing w:before="120" w:after="120" w:line="240" w:lineRule="auto"/>
              <w:ind w:firstLine="0"/>
              <w:rPr>
                <w:rStyle w:val="FontStyle31"/>
                <w:lang w:eastAsia="en-US"/>
              </w:rPr>
            </w:pPr>
            <w:r w:rsidRPr="00743A0D">
              <w:rPr>
                <w:rStyle w:val="FontStyle31"/>
                <w:lang w:eastAsia="en-US"/>
              </w:rPr>
              <w:t xml:space="preserve">Комисията поставя </w:t>
            </w:r>
            <w:r w:rsidRPr="00D635CC">
              <w:rPr>
                <w:rStyle w:val="FontStyle31"/>
                <w:lang w:eastAsia="en-US"/>
              </w:rPr>
              <w:t>1</w:t>
            </w:r>
            <w:r w:rsidR="007F73B8">
              <w:rPr>
                <w:rStyle w:val="FontStyle31"/>
                <w:lang w:eastAsia="en-US"/>
              </w:rPr>
              <w:t>2</w:t>
            </w:r>
            <w:r w:rsidRPr="00743A0D">
              <w:rPr>
                <w:rStyle w:val="FontStyle31"/>
                <w:lang w:eastAsia="en-US"/>
              </w:rPr>
              <w:t xml:space="preserve"> т., когато са налице  несъществени пропуски  в обяснителната записка на участника </w:t>
            </w:r>
            <w:r>
              <w:rPr>
                <w:rStyle w:val="FontStyle31"/>
                <w:lang w:eastAsia="en-US"/>
              </w:rPr>
              <w:t>в</w:t>
            </w:r>
            <w:r w:rsidRPr="00743A0D">
              <w:rPr>
                <w:rStyle w:val="FontStyle31"/>
                <w:lang w:eastAsia="en-US"/>
              </w:rPr>
              <w:t xml:space="preserve"> </w:t>
            </w:r>
            <w:r w:rsidRPr="00743A0D">
              <w:rPr>
                <w:rStyle w:val="FontStyle31"/>
                <w:b/>
                <w:lang w:eastAsia="en-US"/>
              </w:rPr>
              <w:t>две</w:t>
            </w:r>
            <w:r w:rsidRPr="00743A0D">
              <w:rPr>
                <w:rStyle w:val="FontStyle31"/>
                <w:lang w:eastAsia="en-US"/>
              </w:rPr>
              <w:t xml:space="preserve"> от горе посочените </w:t>
            </w:r>
            <w:r>
              <w:rPr>
                <w:rStyle w:val="FontStyle31"/>
                <w:lang w:eastAsia="en-US"/>
              </w:rPr>
              <w:t xml:space="preserve">четири </w:t>
            </w:r>
            <w:r w:rsidRPr="00743A0D">
              <w:rPr>
                <w:rStyle w:val="FontStyle31"/>
                <w:lang w:eastAsia="en-US"/>
              </w:rPr>
              <w:t>обстоятелства.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61532" w:rsidRPr="00743A0D" w:rsidRDefault="00B61532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  <w:r w:rsidRPr="00743A0D">
              <w:rPr>
                <w:rStyle w:val="FontStyle31"/>
                <w:lang w:val="en-US" w:eastAsia="en-US"/>
              </w:rPr>
              <w:t>1</w:t>
            </w:r>
            <w:r w:rsidR="007F73B8">
              <w:rPr>
                <w:rStyle w:val="FontStyle31"/>
                <w:lang w:eastAsia="en-US"/>
              </w:rPr>
              <w:t>2</w:t>
            </w:r>
            <w:r w:rsidRPr="00743A0D">
              <w:rPr>
                <w:rStyle w:val="FontStyle31"/>
                <w:lang w:eastAsia="en-US"/>
              </w:rPr>
              <w:t xml:space="preserve"> т.</w:t>
            </w:r>
          </w:p>
          <w:p w:rsidR="00B61532" w:rsidRPr="00743A0D" w:rsidRDefault="00B61532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</w:tr>
      <w:tr w:rsidR="00B61532" w:rsidRPr="00743A0D" w:rsidTr="00B61532">
        <w:trPr>
          <w:jc w:val="center"/>
        </w:trPr>
        <w:tc>
          <w:tcPr>
            <w:tcW w:w="1483" w:type="dxa"/>
            <w:vMerge/>
            <w:shd w:val="clear" w:color="auto" w:fill="auto"/>
            <w:vAlign w:val="center"/>
          </w:tcPr>
          <w:p w:rsidR="00B61532" w:rsidRPr="00743A0D" w:rsidRDefault="00B61532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</w:tcPr>
          <w:p w:rsidR="00B61532" w:rsidRPr="00743A0D" w:rsidRDefault="00B61532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B61532" w:rsidRPr="00743A0D" w:rsidRDefault="00B61532" w:rsidP="00194424">
            <w:pPr>
              <w:pStyle w:val="Style5"/>
              <w:widowControl/>
              <w:spacing w:before="120" w:after="120" w:line="240" w:lineRule="auto"/>
              <w:ind w:firstLine="0"/>
              <w:rPr>
                <w:rStyle w:val="FontStyle31"/>
                <w:lang w:eastAsia="en-US"/>
              </w:rPr>
            </w:pPr>
            <w:r w:rsidRPr="00743A0D">
              <w:rPr>
                <w:rStyle w:val="FontStyle31"/>
                <w:lang w:eastAsia="en-US"/>
              </w:rPr>
              <w:t xml:space="preserve">Комисията поставя </w:t>
            </w:r>
            <w:r w:rsidR="007F73B8">
              <w:rPr>
                <w:rStyle w:val="FontStyle31"/>
                <w:lang w:eastAsia="en-US"/>
              </w:rPr>
              <w:t>6</w:t>
            </w:r>
            <w:r w:rsidRPr="00743A0D">
              <w:rPr>
                <w:rStyle w:val="FontStyle31"/>
                <w:lang w:eastAsia="en-US"/>
              </w:rPr>
              <w:t xml:space="preserve"> т., когато са налице  несъществени пропуски  в обяснителната записка на участника </w:t>
            </w:r>
            <w:r>
              <w:rPr>
                <w:rStyle w:val="FontStyle31"/>
                <w:lang w:eastAsia="en-US"/>
              </w:rPr>
              <w:t>в</w:t>
            </w:r>
            <w:r w:rsidRPr="00743A0D">
              <w:rPr>
                <w:rStyle w:val="FontStyle31"/>
                <w:lang w:eastAsia="en-US"/>
              </w:rPr>
              <w:t xml:space="preserve"> </w:t>
            </w:r>
            <w:r w:rsidRPr="00743A0D">
              <w:rPr>
                <w:rStyle w:val="FontStyle31"/>
                <w:b/>
                <w:lang w:eastAsia="en-US"/>
              </w:rPr>
              <w:t>три</w:t>
            </w:r>
            <w:r w:rsidRPr="00743A0D">
              <w:rPr>
                <w:rStyle w:val="FontStyle31"/>
                <w:lang w:eastAsia="en-US"/>
              </w:rPr>
              <w:t xml:space="preserve"> от горе посочените </w:t>
            </w:r>
            <w:r>
              <w:rPr>
                <w:rStyle w:val="FontStyle31"/>
                <w:lang w:eastAsia="en-US"/>
              </w:rPr>
              <w:t xml:space="preserve">четири </w:t>
            </w:r>
            <w:r w:rsidRPr="00743A0D">
              <w:rPr>
                <w:rStyle w:val="FontStyle31"/>
                <w:lang w:eastAsia="en-US"/>
              </w:rPr>
              <w:t>обстоятелства.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61532" w:rsidRPr="00743A0D" w:rsidRDefault="007F73B8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6</w:t>
            </w:r>
            <w:r w:rsidR="00B61532" w:rsidRPr="00743A0D">
              <w:rPr>
                <w:rStyle w:val="FontStyle31"/>
                <w:lang w:eastAsia="en-US"/>
              </w:rPr>
              <w:t xml:space="preserve"> т.</w:t>
            </w:r>
          </w:p>
          <w:p w:rsidR="00B61532" w:rsidRPr="00743A0D" w:rsidRDefault="00B61532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</w:tr>
    </w:tbl>
    <w:p w:rsidR="00B61532" w:rsidRDefault="00B61532" w:rsidP="00B6153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726"/>
      </w:tblGrid>
      <w:tr w:rsidR="00B61532" w:rsidRPr="00743A0D" w:rsidTr="00B61532">
        <w:trPr>
          <w:jc w:val="center"/>
        </w:trPr>
        <w:tc>
          <w:tcPr>
            <w:tcW w:w="2121" w:type="dxa"/>
            <w:vAlign w:val="center"/>
          </w:tcPr>
          <w:p w:rsidR="00B61532" w:rsidRPr="00B61532" w:rsidRDefault="00B61532" w:rsidP="00B61532">
            <w:pPr>
              <w:pStyle w:val="Style5"/>
              <w:widowControl/>
              <w:spacing w:before="120" w:after="120" w:line="240" w:lineRule="auto"/>
              <w:ind w:left="33" w:firstLine="0"/>
              <w:jc w:val="center"/>
              <w:rPr>
                <w:rStyle w:val="FontStyle31"/>
                <w:b/>
                <w:lang w:eastAsia="en-US"/>
              </w:rPr>
            </w:pPr>
            <w:r w:rsidRPr="00B61532">
              <w:rPr>
                <w:rStyle w:val="FontStyle31"/>
                <w:b/>
                <w:lang w:eastAsia="en-US"/>
              </w:rPr>
              <w:t>Забележки</w:t>
            </w:r>
          </w:p>
        </w:tc>
        <w:tc>
          <w:tcPr>
            <w:tcW w:w="7726" w:type="dxa"/>
            <w:shd w:val="clear" w:color="auto" w:fill="auto"/>
            <w:vAlign w:val="center"/>
          </w:tcPr>
          <w:p w:rsidR="00B61532" w:rsidRDefault="00B61532" w:rsidP="00B61532">
            <w:pPr>
              <w:pStyle w:val="Style5"/>
              <w:widowControl/>
              <w:spacing w:before="120" w:after="120" w:line="240" w:lineRule="auto"/>
              <w:ind w:left="33" w:firstLine="0"/>
              <w:rPr>
                <w:rStyle w:val="FontStyle31"/>
                <w:b/>
                <w:lang w:eastAsia="en-US"/>
              </w:rPr>
            </w:pPr>
            <w:r w:rsidRPr="00743A0D">
              <w:rPr>
                <w:rStyle w:val="FontStyle31"/>
                <w:lang w:eastAsia="en-US"/>
              </w:rPr>
              <w:t xml:space="preserve">За целите на оценката </w:t>
            </w:r>
            <w:r>
              <w:rPr>
                <w:rStyle w:val="FontStyle31"/>
                <w:lang w:eastAsia="en-US"/>
              </w:rPr>
              <w:t xml:space="preserve">по подпоказател К1 </w:t>
            </w:r>
            <w:r w:rsidRPr="00743A0D">
              <w:rPr>
                <w:rStyle w:val="FontStyle31"/>
                <w:lang w:eastAsia="en-US"/>
              </w:rPr>
              <w:t xml:space="preserve">под </w:t>
            </w:r>
            <w:r w:rsidRPr="001F51D3">
              <w:rPr>
                <w:rStyle w:val="FontStyle31"/>
                <w:u w:val="single"/>
                <w:lang w:eastAsia="en-US"/>
              </w:rPr>
              <w:t>„</w:t>
            </w:r>
            <w:r w:rsidRPr="001F51D3">
              <w:rPr>
                <w:rStyle w:val="FontStyle31"/>
                <w:i/>
                <w:u w:val="single"/>
                <w:lang w:eastAsia="en-US"/>
              </w:rPr>
              <w:t>несъществени пропуски</w:t>
            </w:r>
            <w:r w:rsidRPr="001F51D3">
              <w:rPr>
                <w:rStyle w:val="FontStyle31"/>
                <w:u w:val="single"/>
                <w:lang w:eastAsia="en-US"/>
              </w:rPr>
              <w:t>“</w:t>
            </w:r>
            <w:r w:rsidRPr="00743A0D">
              <w:rPr>
                <w:rStyle w:val="FontStyle31"/>
                <w:lang w:eastAsia="en-US"/>
              </w:rPr>
              <w:t xml:space="preserve"> ще се разбират пропуски в обяснителната записка, които са резултат от допуснати </w:t>
            </w:r>
            <w:r w:rsidRPr="00652FCB">
              <w:rPr>
                <w:rStyle w:val="FontStyle31"/>
                <w:u w:val="single"/>
                <w:lang w:eastAsia="en-US"/>
              </w:rPr>
              <w:t>технически пропуски</w:t>
            </w:r>
            <w:r w:rsidRPr="00743A0D">
              <w:rPr>
                <w:rStyle w:val="FontStyle31"/>
                <w:lang w:eastAsia="en-US"/>
              </w:rPr>
              <w:t xml:space="preserve"> и </w:t>
            </w:r>
            <w:r w:rsidRPr="00652FCB">
              <w:rPr>
                <w:rStyle w:val="FontStyle31"/>
                <w:u w:val="single"/>
                <w:lang w:eastAsia="en-US"/>
              </w:rPr>
              <w:t>формални грешки</w:t>
            </w:r>
            <w:r w:rsidRPr="00743A0D">
              <w:rPr>
                <w:rStyle w:val="FontStyle31"/>
                <w:lang w:eastAsia="en-US"/>
              </w:rPr>
              <w:t xml:space="preserve">, които </w:t>
            </w:r>
            <w:r w:rsidR="00450DC1">
              <w:rPr>
                <w:rStyle w:val="FontStyle31"/>
                <w:lang w:eastAsia="en-US"/>
              </w:rPr>
              <w:t>не повлияват</w:t>
            </w:r>
            <w:r w:rsidRPr="00743A0D">
              <w:rPr>
                <w:rStyle w:val="FontStyle31"/>
                <w:lang w:eastAsia="en-US"/>
              </w:rPr>
              <w:t xml:space="preserve"> качеството на изпълнение на поръчката</w:t>
            </w:r>
            <w:r w:rsidR="00960000">
              <w:rPr>
                <w:rStyle w:val="FontStyle31"/>
                <w:lang w:eastAsia="en-US"/>
              </w:rPr>
              <w:t xml:space="preserve"> </w:t>
            </w:r>
            <w:r w:rsidR="00960000" w:rsidRPr="007A4933">
              <w:rPr>
                <w:rStyle w:val="FontStyle31"/>
                <w:lang w:eastAsia="en-US"/>
              </w:rPr>
              <w:t>и на правилното определяне на сроковете за изпълнението й.</w:t>
            </w:r>
          </w:p>
          <w:p w:rsidR="00B61532" w:rsidRPr="00743A0D" w:rsidRDefault="00B61532" w:rsidP="00EA5E6C">
            <w:pPr>
              <w:pStyle w:val="Style5"/>
              <w:widowControl/>
              <w:spacing w:before="120" w:after="120" w:line="240" w:lineRule="auto"/>
              <w:ind w:left="33" w:firstLine="0"/>
              <w:rPr>
                <w:rStyle w:val="FontStyle31"/>
                <w:b/>
                <w:lang w:eastAsia="en-US"/>
              </w:rPr>
            </w:pPr>
            <w:r>
              <w:rPr>
                <w:rStyle w:val="FontStyle31"/>
                <w:b/>
                <w:lang w:eastAsia="en-US"/>
              </w:rPr>
              <w:t>В случай, че в обяснителната записка липсва някоя от съставните части</w:t>
            </w:r>
            <w:r w:rsidR="00EA5E6C">
              <w:rPr>
                <w:rStyle w:val="FontStyle31"/>
                <w:b/>
                <w:lang w:eastAsia="en-US"/>
              </w:rPr>
              <w:t>,</w:t>
            </w:r>
            <w:r>
              <w:rPr>
                <w:rStyle w:val="FontStyle31"/>
                <w:b/>
                <w:lang w:eastAsia="en-US"/>
              </w:rPr>
              <w:t xml:space="preserve"> </w:t>
            </w:r>
            <w:r w:rsidR="00EA5E6C" w:rsidRPr="00EA5E6C">
              <w:rPr>
                <w:rStyle w:val="FontStyle31"/>
                <w:b/>
                <w:lang w:eastAsia="en-US"/>
              </w:rPr>
              <w:t>съгласно изискванията за съдържание посочени в указанията за участие</w:t>
            </w:r>
            <w:r w:rsidR="00EA5E6C">
              <w:rPr>
                <w:rStyle w:val="FontStyle31"/>
                <w:b/>
                <w:lang w:eastAsia="en-US"/>
              </w:rPr>
              <w:t xml:space="preserve">, </w:t>
            </w:r>
            <w:r>
              <w:rPr>
                <w:rStyle w:val="FontStyle31"/>
                <w:b/>
                <w:lang w:eastAsia="en-US"/>
              </w:rPr>
              <w:t xml:space="preserve">и/или има противоречащи текстове </w:t>
            </w:r>
            <w:r w:rsidR="00EA5E6C">
              <w:rPr>
                <w:rStyle w:val="FontStyle31"/>
                <w:b/>
                <w:lang w:eastAsia="en-US"/>
              </w:rPr>
              <w:t>на</w:t>
            </w:r>
            <w:r>
              <w:rPr>
                <w:rStyle w:val="FontStyle31"/>
                <w:b/>
                <w:lang w:eastAsia="en-US"/>
              </w:rPr>
              <w:t xml:space="preserve"> изискванията на Възложителя, техническата спецификация и нормативните изисквания, то тези предложения ще бъдат предложени за отстраняване.</w:t>
            </w:r>
          </w:p>
        </w:tc>
      </w:tr>
    </w:tbl>
    <w:p w:rsidR="00B61532" w:rsidRDefault="00B61532" w:rsidP="000125FB">
      <w:pPr>
        <w:spacing w:line="240" w:lineRule="auto"/>
        <w:ind w:firstLine="709"/>
        <w:jc w:val="both"/>
        <w:rPr>
          <w:rStyle w:val="FontStyle31"/>
          <w:b/>
          <w:sz w:val="24"/>
          <w:szCs w:val="24"/>
        </w:rPr>
      </w:pPr>
    </w:p>
    <w:p w:rsidR="00B61532" w:rsidRDefault="00B61532">
      <w:pPr>
        <w:spacing w:before="120" w:after="120" w:line="240" w:lineRule="auto"/>
        <w:rPr>
          <w:rStyle w:val="FontStyle31"/>
          <w:b/>
          <w:sz w:val="24"/>
          <w:szCs w:val="24"/>
        </w:rPr>
      </w:pPr>
      <w:r>
        <w:rPr>
          <w:rStyle w:val="FontStyle31"/>
          <w:b/>
          <w:sz w:val="24"/>
          <w:szCs w:val="24"/>
        </w:rPr>
        <w:br w:type="page"/>
      </w:r>
    </w:p>
    <w:p w:rsidR="000125FB" w:rsidRPr="00743A0D" w:rsidRDefault="000125FB" w:rsidP="000125FB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3A0D">
        <w:rPr>
          <w:rFonts w:ascii="Times New Roman" w:hAnsi="Times New Roman"/>
          <w:b/>
          <w:sz w:val="24"/>
          <w:szCs w:val="24"/>
        </w:rPr>
        <w:lastRenderedPageBreak/>
        <w:t xml:space="preserve">Подпоказател K2 </w:t>
      </w:r>
      <w:r w:rsidR="00B61532">
        <w:rPr>
          <w:rStyle w:val="FontStyle31"/>
          <w:b/>
          <w:sz w:val="24"/>
          <w:szCs w:val="24"/>
        </w:rPr>
        <w:t>–  Стратегия за у</w:t>
      </w:r>
      <w:r w:rsidRPr="00743A0D">
        <w:rPr>
          <w:rStyle w:val="FontStyle31"/>
          <w:b/>
          <w:sz w:val="24"/>
          <w:szCs w:val="24"/>
        </w:rPr>
        <w:t xml:space="preserve">правление на </w:t>
      </w:r>
      <w:r w:rsidR="00635E7C" w:rsidRPr="00743A0D">
        <w:rPr>
          <w:rStyle w:val="FontStyle31"/>
          <w:b/>
          <w:sz w:val="24"/>
          <w:szCs w:val="24"/>
        </w:rPr>
        <w:t xml:space="preserve">риска – максимална стойност </w:t>
      </w:r>
      <w:r w:rsidR="00635E7C" w:rsidRPr="00D635CC">
        <w:rPr>
          <w:rStyle w:val="FontStyle31"/>
          <w:b/>
          <w:sz w:val="24"/>
          <w:szCs w:val="24"/>
        </w:rPr>
        <w:t>2</w:t>
      </w:r>
      <w:r w:rsidR="00C41307">
        <w:rPr>
          <w:rStyle w:val="FontStyle31"/>
          <w:b/>
          <w:sz w:val="24"/>
          <w:szCs w:val="24"/>
        </w:rPr>
        <w:t>5</w:t>
      </w:r>
      <w:r w:rsidRPr="00743A0D">
        <w:rPr>
          <w:rStyle w:val="FontStyle31"/>
          <w:b/>
          <w:sz w:val="24"/>
          <w:szCs w:val="24"/>
        </w:rPr>
        <w:t xml:space="preserve"> точки</w:t>
      </w:r>
      <w:r w:rsidRPr="00743A0D">
        <w:rPr>
          <w:rFonts w:ascii="Times New Roman" w:hAnsi="Times New Roman"/>
          <w:b/>
          <w:sz w:val="24"/>
          <w:szCs w:val="24"/>
        </w:rPr>
        <w:t xml:space="preserve"> </w:t>
      </w:r>
    </w:p>
    <w:p w:rsidR="000125FB" w:rsidRPr="00743A0D" w:rsidRDefault="00C41307" w:rsidP="000125FB">
      <w:pPr>
        <w:spacing w:line="240" w:lineRule="auto"/>
        <w:ind w:firstLine="709"/>
        <w:jc w:val="both"/>
        <w:rPr>
          <w:rStyle w:val="FontStyle31"/>
          <w:sz w:val="24"/>
          <w:szCs w:val="24"/>
        </w:rPr>
      </w:pPr>
      <w:r>
        <w:rPr>
          <w:rStyle w:val="FontStyle31"/>
          <w:b/>
          <w:sz w:val="24"/>
          <w:szCs w:val="24"/>
        </w:rPr>
        <w:t>Стратегията за у</w:t>
      </w:r>
      <w:r w:rsidR="000125FB" w:rsidRPr="00743A0D">
        <w:rPr>
          <w:rStyle w:val="FontStyle31"/>
          <w:b/>
          <w:sz w:val="24"/>
          <w:szCs w:val="24"/>
        </w:rPr>
        <w:t xml:space="preserve">правление на риска </w:t>
      </w:r>
      <w:r w:rsidR="000125FB" w:rsidRPr="00743A0D">
        <w:rPr>
          <w:rStyle w:val="FontStyle31"/>
          <w:sz w:val="24"/>
          <w:szCs w:val="24"/>
        </w:rPr>
        <w:t xml:space="preserve">се описва </w:t>
      </w:r>
      <w:r w:rsidR="00B61532">
        <w:rPr>
          <w:rStyle w:val="FontStyle31"/>
          <w:sz w:val="24"/>
          <w:szCs w:val="24"/>
        </w:rPr>
        <w:t>към</w:t>
      </w:r>
      <w:r w:rsidR="000125FB" w:rsidRPr="00743A0D">
        <w:rPr>
          <w:rStyle w:val="FontStyle31"/>
          <w:sz w:val="24"/>
          <w:szCs w:val="24"/>
        </w:rPr>
        <w:t xml:space="preserve"> </w:t>
      </w:r>
      <w:r w:rsidR="000125FB" w:rsidRPr="00B61532">
        <w:rPr>
          <w:rStyle w:val="FontStyle31"/>
          <w:b/>
          <w:i/>
          <w:sz w:val="24"/>
          <w:szCs w:val="24"/>
          <w:u w:val="single"/>
        </w:rPr>
        <w:t>Образец №</w:t>
      </w:r>
      <w:r w:rsidR="00B61532" w:rsidRPr="00B61532">
        <w:rPr>
          <w:rStyle w:val="FontStyle31"/>
          <w:b/>
          <w:i/>
          <w:sz w:val="24"/>
          <w:szCs w:val="24"/>
          <w:u w:val="single"/>
        </w:rPr>
        <w:t>9</w:t>
      </w:r>
      <w:r w:rsidR="000125FB" w:rsidRPr="00B61532">
        <w:rPr>
          <w:rStyle w:val="FontStyle31"/>
          <w:sz w:val="24"/>
          <w:szCs w:val="24"/>
        </w:rPr>
        <w:t xml:space="preserve"> от</w:t>
      </w:r>
      <w:r w:rsidR="000125FB" w:rsidRPr="00743A0D">
        <w:rPr>
          <w:rStyle w:val="FontStyle31"/>
          <w:sz w:val="24"/>
          <w:szCs w:val="24"/>
        </w:rPr>
        <w:t xml:space="preserve"> Документацията за участие – Техническо предлож</w:t>
      </w:r>
      <w:r w:rsidR="00BD28F6">
        <w:rPr>
          <w:rStyle w:val="FontStyle31"/>
          <w:sz w:val="24"/>
          <w:szCs w:val="24"/>
        </w:rPr>
        <w:t>ение за изпълнение на поръчката, съгласно изискванията за съдържание посочени в указанията за участие.</w:t>
      </w:r>
    </w:p>
    <w:p w:rsidR="000125FB" w:rsidRPr="00743A0D" w:rsidRDefault="000125FB" w:rsidP="000125FB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3A0D">
        <w:rPr>
          <w:rStyle w:val="FontStyle31"/>
          <w:sz w:val="24"/>
          <w:szCs w:val="24"/>
        </w:rPr>
        <w:t xml:space="preserve">Всички предложения, допуснати до техническа оценка </w:t>
      </w:r>
      <w:r w:rsidRPr="00743A0D">
        <w:rPr>
          <w:rStyle w:val="FontStyle31"/>
          <w:sz w:val="24"/>
          <w:szCs w:val="24"/>
          <w:u w:val="single"/>
        </w:rPr>
        <w:t xml:space="preserve">се </w:t>
      </w:r>
      <w:r w:rsidRPr="00743A0D">
        <w:rPr>
          <w:rFonts w:ascii="Times New Roman" w:hAnsi="Times New Roman"/>
          <w:bCs/>
          <w:sz w:val="24"/>
          <w:szCs w:val="24"/>
          <w:u w:val="single"/>
        </w:rPr>
        <w:t>подлагат на сравнителен анализ</w:t>
      </w:r>
      <w:r w:rsidRPr="00743A0D">
        <w:rPr>
          <w:rFonts w:ascii="Times New Roman" w:hAnsi="Times New Roman"/>
          <w:bCs/>
          <w:sz w:val="24"/>
          <w:szCs w:val="24"/>
        </w:rPr>
        <w:t xml:space="preserve"> по показател </w:t>
      </w:r>
      <w:r w:rsidRPr="00743A0D">
        <w:rPr>
          <w:rFonts w:ascii="Times New Roman" w:hAnsi="Times New Roman"/>
          <w:sz w:val="24"/>
          <w:szCs w:val="24"/>
        </w:rPr>
        <w:t xml:space="preserve">K2 </w:t>
      </w:r>
      <w:r w:rsidR="00BD28F6">
        <w:rPr>
          <w:rStyle w:val="FontStyle31"/>
          <w:sz w:val="24"/>
          <w:szCs w:val="24"/>
        </w:rPr>
        <w:t>–  Стратегия за у</w:t>
      </w:r>
      <w:r w:rsidRPr="00743A0D">
        <w:rPr>
          <w:rStyle w:val="FontStyle31"/>
          <w:sz w:val="24"/>
          <w:szCs w:val="24"/>
        </w:rPr>
        <w:t>правление на риска</w:t>
      </w:r>
      <w:r w:rsidRPr="00743A0D">
        <w:rPr>
          <w:rFonts w:ascii="Times New Roman" w:hAnsi="Times New Roman"/>
          <w:bCs/>
          <w:sz w:val="24"/>
          <w:szCs w:val="24"/>
        </w:rPr>
        <w:t>, съпоставят се едно с друго и се оценяват по следните критерии, като комисията посочва обективни мотиви за присъждане на съответния брой точки</w:t>
      </w:r>
      <w:r w:rsidR="00BD28F6">
        <w:rPr>
          <w:rFonts w:ascii="Times New Roman" w:hAnsi="Times New Roman"/>
          <w:bCs/>
          <w:sz w:val="24"/>
          <w:szCs w:val="24"/>
        </w:rPr>
        <w:t>, при спазване на принципа на равнопоставеност</w:t>
      </w:r>
      <w:r w:rsidRPr="00743A0D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639"/>
        <w:gridCol w:w="3637"/>
        <w:gridCol w:w="2088"/>
      </w:tblGrid>
      <w:tr w:rsidR="000125FB" w:rsidRPr="00743A0D" w:rsidTr="00B55853">
        <w:trPr>
          <w:tblHeader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0125FB" w:rsidRPr="00BB03EF" w:rsidRDefault="00BB03EF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b/>
                <w:lang w:eastAsia="en-US"/>
              </w:rPr>
            </w:pPr>
            <w:r>
              <w:rPr>
                <w:rStyle w:val="FontStyle31"/>
                <w:b/>
                <w:lang w:eastAsia="en-US"/>
              </w:rPr>
              <w:t>По</w:t>
            </w:r>
            <w:r w:rsidR="00194424">
              <w:rPr>
                <w:rStyle w:val="FontStyle31"/>
                <w:b/>
                <w:lang w:eastAsia="en-US"/>
              </w:rPr>
              <w:t>дпо</w:t>
            </w:r>
            <w:r>
              <w:rPr>
                <w:rStyle w:val="FontStyle31"/>
                <w:b/>
                <w:lang w:eastAsia="en-US"/>
              </w:rPr>
              <w:t>казател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125FB" w:rsidRPr="00BB03EF" w:rsidRDefault="000125FB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b/>
                <w:lang w:eastAsia="en-US"/>
              </w:rPr>
            </w:pPr>
            <w:r w:rsidRPr="00BB03EF">
              <w:rPr>
                <w:rStyle w:val="FontStyle31"/>
                <w:b/>
                <w:lang w:eastAsia="en-US"/>
              </w:rPr>
              <w:t>Наименование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0125FB" w:rsidRPr="00BB03EF" w:rsidRDefault="000125FB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b/>
                <w:lang w:eastAsia="en-US"/>
              </w:rPr>
            </w:pPr>
            <w:r w:rsidRPr="00BB03EF">
              <w:rPr>
                <w:rStyle w:val="FontStyle31"/>
                <w:b/>
                <w:lang w:eastAsia="en-US"/>
              </w:rPr>
              <w:t>Обстоятелства, при които се поставят точките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125FB" w:rsidRPr="00BB03EF" w:rsidRDefault="000125FB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b/>
                <w:lang w:eastAsia="en-US"/>
              </w:rPr>
            </w:pPr>
            <w:r w:rsidRPr="00BB03EF">
              <w:rPr>
                <w:rStyle w:val="FontStyle31"/>
                <w:b/>
                <w:lang w:eastAsia="en-US"/>
              </w:rPr>
              <w:t>Брой точки</w:t>
            </w:r>
          </w:p>
        </w:tc>
      </w:tr>
      <w:tr w:rsidR="000125FB" w:rsidRPr="00743A0D" w:rsidTr="00B55853">
        <w:trPr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0125FB" w:rsidRPr="00BB03EF" w:rsidRDefault="000125FB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b/>
                <w:lang w:eastAsia="en-US"/>
              </w:rPr>
            </w:pPr>
            <w:r w:rsidRPr="00BB03EF">
              <w:rPr>
                <w:rStyle w:val="FontStyle31"/>
                <w:b/>
                <w:lang w:eastAsia="en-US"/>
              </w:rPr>
              <w:t>К2</w:t>
            </w: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:rsidR="000125FB" w:rsidRPr="00BB03EF" w:rsidRDefault="000125FB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b/>
                <w:lang w:eastAsia="en-US"/>
              </w:rPr>
            </w:pPr>
            <w:r w:rsidRPr="00BB03EF">
              <w:rPr>
                <w:rStyle w:val="FontStyle31"/>
                <w:b/>
                <w:lang w:eastAsia="en-US"/>
              </w:rPr>
              <w:t xml:space="preserve">Стратегия за управление на риска </w:t>
            </w:r>
          </w:p>
          <w:p w:rsidR="000125FB" w:rsidRPr="00BB03EF" w:rsidRDefault="000125FB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  <w:r w:rsidRPr="00BB03EF">
              <w:rPr>
                <w:rStyle w:val="FontStyle31"/>
                <w:lang w:eastAsia="en-US"/>
              </w:rPr>
              <w:t>Точките/оценките са точно фиксирани и се поставят от комисията съобразно указанията в следващата колона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0125FB" w:rsidRPr="00BB03EF" w:rsidRDefault="000125FB" w:rsidP="00194424">
            <w:pPr>
              <w:pStyle w:val="Style5"/>
              <w:widowControl/>
              <w:spacing w:before="120" w:after="120" w:line="240" w:lineRule="auto"/>
              <w:ind w:firstLine="0"/>
              <w:rPr>
                <w:rStyle w:val="FontStyle31"/>
                <w:lang w:eastAsia="en-US"/>
              </w:rPr>
            </w:pPr>
            <w:r w:rsidRPr="00BB03EF">
              <w:rPr>
                <w:rStyle w:val="FontStyle31"/>
                <w:lang w:eastAsia="en-US"/>
              </w:rPr>
              <w:t xml:space="preserve">Комисията поставя </w:t>
            </w:r>
            <w:r w:rsidR="00635E7C" w:rsidRPr="00D635CC">
              <w:rPr>
                <w:rStyle w:val="FontStyle31"/>
                <w:lang w:eastAsia="en-US"/>
              </w:rPr>
              <w:t>6</w:t>
            </w:r>
            <w:r w:rsidRPr="00BB03EF">
              <w:rPr>
                <w:rStyle w:val="FontStyle31"/>
                <w:lang w:eastAsia="en-US"/>
              </w:rPr>
              <w:t xml:space="preserve"> т., когато са налице</w:t>
            </w:r>
            <w:r w:rsidR="00BD28F6">
              <w:rPr>
                <w:rStyle w:val="FontStyle31"/>
                <w:lang w:eastAsia="en-US"/>
              </w:rPr>
              <w:t xml:space="preserve"> следните</w:t>
            </w:r>
            <w:r w:rsidRPr="00BB03EF">
              <w:rPr>
                <w:rStyle w:val="FontStyle31"/>
                <w:lang w:eastAsia="en-US"/>
              </w:rPr>
              <w:t xml:space="preserve"> обстоятелства</w:t>
            </w:r>
            <w:r w:rsidR="00BD28F6">
              <w:rPr>
                <w:rStyle w:val="FontStyle31"/>
                <w:lang w:eastAsia="en-US"/>
              </w:rPr>
              <w:t xml:space="preserve"> в стратегията за управление на риска</w:t>
            </w:r>
            <w:r w:rsidRPr="00BB03EF">
              <w:rPr>
                <w:rStyle w:val="FontStyle31"/>
                <w:lang w:eastAsia="en-US"/>
              </w:rPr>
              <w:t>:</w:t>
            </w:r>
          </w:p>
          <w:p w:rsidR="00BD28F6" w:rsidRPr="009179FE" w:rsidRDefault="00BD28F6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9179FE">
              <w:rPr>
                <w:sz w:val="20"/>
                <w:szCs w:val="20"/>
                <w:lang w:eastAsia="en-US"/>
              </w:rPr>
              <w:t xml:space="preserve">В </w:t>
            </w:r>
            <w:r w:rsidR="009179FE" w:rsidRPr="009179FE">
              <w:rPr>
                <w:sz w:val="20"/>
                <w:szCs w:val="20"/>
                <w:lang w:eastAsia="en-US"/>
              </w:rPr>
              <w:t xml:space="preserve">тази </w:t>
            </w:r>
            <w:r w:rsidRPr="009179FE">
              <w:rPr>
                <w:sz w:val="20"/>
                <w:szCs w:val="20"/>
                <w:lang w:eastAsia="en-US"/>
              </w:rPr>
              <w:t xml:space="preserve">част от своето предложение участникът </w:t>
            </w:r>
            <w:r w:rsidR="009179FE" w:rsidRPr="009179FE">
              <w:rPr>
                <w:sz w:val="20"/>
                <w:szCs w:val="20"/>
                <w:lang w:eastAsia="en-US"/>
              </w:rPr>
              <w:t xml:space="preserve">е </w:t>
            </w:r>
            <w:r w:rsidRPr="009179FE">
              <w:rPr>
                <w:sz w:val="20"/>
                <w:szCs w:val="20"/>
                <w:lang w:eastAsia="en-US"/>
              </w:rPr>
              <w:t>изложи</w:t>
            </w:r>
            <w:r w:rsidR="009179FE" w:rsidRPr="009179FE">
              <w:rPr>
                <w:sz w:val="20"/>
                <w:szCs w:val="20"/>
                <w:lang w:eastAsia="en-US"/>
              </w:rPr>
              <w:t>л</w:t>
            </w:r>
            <w:r w:rsidRPr="009179FE">
              <w:rPr>
                <w:sz w:val="20"/>
                <w:szCs w:val="20"/>
                <w:lang w:eastAsia="en-US"/>
              </w:rPr>
              <w:t xml:space="preserve"> мнението си / предложението си по отношение на рисковете дефинирани от Възложите</w:t>
            </w:r>
            <w:r w:rsidR="009179FE" w:rsidRPr="009179FE">
              <w:rPr>
                <w:sz w:val="20"/>
                <w:szCs w:val="20"/>
                <w:lang w:eastAsia="en-US"/>
              </w:rPr>
              <w:t xml:space="preserve">ля в техническата </w:t>
            </w:r>
            <w:r w:rsidR="009179FE">
              <w:rPr>
                <w:sz w:val="20"/>
                <w:szCs w:val="20"/>
                <w:lang w:eastAsia="en-US"/>
              </w:rPr>
              <w:t>спецификация, и ги е анализирал;</w:t>
            </w:r>
          </w:p>
          <w:p w:rsidR="000125FB" w:rsidRPr="00BB03EF" w:rsidRDefault="009179FE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  <w:rPr>
                <w:rStyle w:val="FontStyle31"/>
                <w:lang w:eastAsia="en-US"/>
              </w:rPr>
            </w:pPr>
            <w:r w:rsidRPr="009179FE">
              <w:rPr>
                <w:sz w:val="20"/>
                <w:szCs w:val="20"/>
                <w:lang w:eastAsia="en-US"/>
              </w:rPr>
              <w:t>Описани са</w:t>
            </w:r>
            <w:r w:rsidR="00BD28F6" w:rsidRPr="009179FE">
              <w:rPr>
                <w:sz w:val="20"/>
                <w:szCs w:val="20"/>
                <w:lang w:eastAsia="en-US"/>
              </w:rPr>
              <w:t xml:space="preserve"> формите на тяхното проявление, вероятността от възникване и степента на влияние на риска върху изпълнението на задачите от техническата спецификация в техния, обем, качество, срок, както и в рамките на предложената от участника цена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125FB" w:rsidRPr="00BB03EF" w:rsidRDefault="00635E7C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  <w:r w:rsidRPr="00BB03EF">
              <w:rPr>
                <w:rStyle w:val="FontStyle31"/>
                <w:lang w:val="en-US" w:eastAsia="en-US"/>
              </w:rPr>
              <w:t>6</w:t>
            </w:r>
            <w:r w:rsidR="000125FB" w:rsidRPr="00BB03EF">
              <w:rPr>
                <w:rStyle w:val="FontStyle31"/>
                <w:lang w:eastAsia="en-US"/>
              </w:rPr>
              <w:t xml:space="preserve"> т.</w:t>
            </w:r>
          </w:p>
          <w:p w:rsidR="000125FB" w:rsidRPr="00BB03EF" w:rsidRDefault="000125FB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</w:tr>
      <w:tr w:rsidR="00C41307" w:rsidRPr="00743A0D" w:rsidTr="00B55853">
        <w:trPr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C41307" w:rsidRPr="00BB03EF" w:rsidRDefault="00C41307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b/>
                <w:lang w:eastAsia="en-US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:rsidR="00C41307" w:rsidRPr="00BB03EF" w:rsidRDefault="00C41307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b/>
                <w:lang w:eastAsia="en-US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194424" w:rsidRPr="00BB03EF" w:rsidRDefault="00194424" w:rsidP="00194424">
            <w:pPr>
              <w:pStyle w:val="Style5"/>
              <w:widowControl/>
              <w:spacing w:before="120" w:after="120" w:line="240" w:lineRule="auto"/>
              <w:ind w:firstLine="0"/>
              <w:rPr>
                <w:rStyle w:val="FontStyle31"/>
                <w:lang w:eastAsia="en-US"/>
              </w:rPr>
            </w:pPr>
            <w:r w:rsidRPr="00BB03EF">
              <w:rPr>
                <w:rStyle w:val="FontStyle31"/>
                <w:lang w:eastAsia="en-US"/>
              </w:rPr>
              <w:t xml:space="preserve">Комисията поставя </w:t>
            </w:r>
            <w:r>
              <w:rPr>
                <w:rStyle w:val="FontStyle31"/>
                <w:lang w:eastAsia="en-US"/>
              </w:rPr>
              <w:t>12</w:t>
            </w:r>
            <w:r w:rsidRPr="00BB03EF">
              <w:rPr>
                <w:rStyle w:val="FontStyle31"/>
                <w:lang w:eastAsia="en-US"/>
              </w:rPr>
              <w:t xml:space="preserve"> т., когато са налице</w:t>
            </w:r>
            <w:r>
              <w:rPr>
                <w:rStyle w:val="FontStyle31"/>
                <w:lang w:eastAsia="en-US"/>
              </w:rPr>
              <w:t xml:space="preserve"> следните</w:t>
            </w:r>
            <w:r w:rsidRPr="00BB03EF">
              <w:rPr>
                <w:rStyle w:val="FontStyle31"/>
                <w:lang w:eastAsia="en-US"/>
              </w:rPr>
              <w:t xml:space="preserve"> обстоятелства</w:t>
            </w:r>
            <w:r>
              <w:rPr>
                <w:rStyle w:val="FontStyle31"/>
                <w:lang w:eastAsia="en-US"/>
              </w:rPr>
              <w:t xml:space="preserve"> в стратегията за управление на риска</w:t>
            </w:r>
            <w:r w:rsidRPr="00BB03EF">
              <w:rPr>
                <w:rStyle w:val="FontStyle31"/>
                <w:lang w:eastAsia="en-US"/>
              </w:rPr>
              <w:t>:</w:t>
            </w:r>
          </w:p>
          <w:p w:rsidR="00194424" w:rsidRPr="009179FE" w:rsidRDefault="00194424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9179FE">
              <w:rPr>
                <w:sz w:val="20"/>
                <w:szCs w:val="20"/>
                <w:lang w:eastAsia="en-US"/>
              </w:rPr>
              <w:t xml:space="preserve">В тази част от своето предложение участникът е изложил мнението си / предложението си по отношение на рисковете дефинирани от Възложителя в техническата </w:t>
            </w:r>
            <w:r>
              <w:rPr>
                <w:sz w:val="20"/>
                <w:szCs w:val="20"/>
                <w:lang w:eastAsia="en-US"/>
              </w:rPr>
              <w:t>спецификация, и ги е анализирал;</w:t>
            </w:r>
          </w:p>
          <w:p w:rsidR="00194424" w:rsidRPr="00194424" w:rsidRDefault="00194424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</w:pPr>
            <w:r w:rsidRPr="009179FE">
              <w:rPr>
                <w:sz w:val="20"/>
                <w:szCs w:val="20"/>
                <w:lang w:eastAsia="en-US"/>
              </w:rPr>
              <w:t>Описани са формите на тяхното проявление, вероятността от възникване и степента на влияние на риска върху изпълнението на задачите от техническата спецификация в техния, обем, качество, срок, както и в рамките на предложената от участника цена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9179FE" w:rsidRPr="00BB03EF" w:rsidRDefault="009179FE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BB03EF">
              <w:rPr>
                <w:sz w:val="20"/>
                <w:szCs w:val="20"/>
                <w:lang w:eastAsia="en-US"/>
              </w:rPr>
              <w:lastRenderedPageBreak/>
              <w:t xml:space="preserve">е предложил по </w:t>
            </w:r>
            <w:r w:rsidRPr="00BB03EF">
              <w:rPr>
                <w:b/>
                <w:sz w:val="20"/>
                <w:szCs w:val="20"/>
                <w:lang w:eastAsia="en-US"/>
              </w:rPr>
              <w:t xml:space="preserve">една </w:t>
            </w:r>
            <w:r w:rsidRPr="00BB03EF">
              <w:rPr>
                <w:sz w:val="20"/>
                <w:szCs w:val="20"/>
                <w:lang w:eastAsia="en-US"/>
              </w:rPr>
              <w:t xml:space="preserve">мярка за предотвратяване на </w:t>
            </w:r>
            <w:r w:rsidR="00194424">
              <w:rPr>
                <w:sz w:val="20"/>
                <w:szCs w:val="20"/>
                <w:lang w:eastAsia="en-US"/>
              </w:rPr>
              <w:t xml:space="preserve">настъпването на </w:t>
            </w:r>
            <w:r w:rsidRPr="00BB03EF">
              <w:rPr>
                <w:sz w:val="20"/>
                <w:szCs w:val="20"/>
                <w:lang w:eastAsia="en-US"/>
              </w:rPr>
              <w:t>всеки от идентифицираните рискове</w:t>
            </w:r>
            <w:r w:rsidR="00194424">
              <w:rPr>
                <w:sz w:val="20"/>
                <w:szCs w:val="20"/>
                <w:lang w:eastAsia="en-US"/>
              </w:rPr>
              <w:t>;</w:t>
            </w:r>
          </w:p>
          <w:p w:rsidR="00C41307" w:rsidRPr="00BB03EF" w:rsidRDefault="009179FE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  <w:rPr>
                <w:rStyle w:val="FontStyle31"/>
                <w:lang w:eastAsia="en-US"/>
              </w:rPr>
            </w:pPr>
            <w:r w:rsidRPr="00BB03EF">
              <w:rPr>
                <w:sz w:val="20"/>
                <w:szCs w:val="20"/>
                <w:lang w:eastAsia="en-US"/>
              </w:rPr>
              <w:t xml:space="preserve">е предложил по </w:t>
            </w:r>
            <w:r w:rsidRPr="00194424">
              <w:rPr>
                <w:b/>
                <w:sz w:val="20"/>
                <w:szCs w:val="20"/>
                <w:lang w:eastAsia="en-US"/>
              </w:rPr>
              <w:t>една</w:t>
            </w:r>
            <w:r w:rsidRPr="00BB03EF">
              <w:rPr>
                <w:sz w:val="20"/>
                <w:szCs w:val="20"/>
                <w:lang w:eastAsia="en-US"/>
              </w:rPr>
              <w:t xml:space="preserve"> мярка за преодоляване на последиците от евентуалното възникване на всеки от идентифицираните рискове</w:t>
            </w:r>
            <w:r w:rsidR="0019442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41307" w:rsidRPr="00C41307" w:rsidRDefault="00C41307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lastRenderedPageBreak/>
              <w:t>12</w:t>
            </w:r>
          </w:p>
        </w:tc>
      </w:tr>
      <w:tr w:rsidR="000125FB" w:rsidRPr="00743A0D" w:rsidTr="00B55853">
        <w:trPr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0125FB" w:rsidRPr="00BB03EF" w:rsidRDefault="000125FB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:rsidR="000125FB" w:rsidRPr="00BB03EF" w:rsidRDefault="000125FB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194424" w:rsidRPr="00BB03EF" w:rsidRDefault="00194424" w:rsidP="00194424">
            <w:pPr>
              <w:pStyle w:val="Style5"/>
              <w:widowControl/>
              <w:spacing w:before="120" w:after="120" w:line="240" w:lineRule="auto"/>
              <w:ind w:firstLine="0"/>
              <w:rPr>
                <w:rStyle w:val="FontStyle31"/>
                <w:lang w:eastAsia="en-US"/>
              </w:rPr>
            </w:pPr>
            <w:r w:rsidRPr="00BB03EF">
              <w:rPr>
                <w:rStyle w:val="FontStyle31"/>
                <w:lang w:eastAsia="en-US"/>
              </w:rPr>
              <w:t xml:space="preserve">Комисията поставя </w:t>
            </w:r>
            <w:r>
              <w:rPr>
                <w:rStyle w:val="FontStyle31"/>
                <w:lang w:eastAsia="en-US"/>
              </w:rPr>
              <w:t>19</w:t>
            </w:r>
            <w:r w:rsidRPr="00BB03EF">
              <w:rPr>
                <w:rStyle w:val="FontStyle31"/>
                <w:lang w:eastAsia="en-US"/>
              </w:rPr>
              <w:t xml:space="preserve"> т., когато са налице</w:t>
            </w:r>
            <w:r>
              <w:rPr>
                <w:rStyle w:val="FontStyle31"/>
                <w:lang w:eastAsia="en-US"/>
              </w:rPr>
              <w:t xml:space="preserve"> следните</w:t>
            </w:r>
            <w:r w:rsidRPr="00BB03EF">
              <w:rPr>
                <w:rStyle w:val="FontStyle31"/>
                <w:lang w:eastAsia="en-US"/>
              </w:rPr>
              <w:t xml:space="preserve"> обстоятелства</w:t>
            </w:r>
            <w:r>
              <w:rPr>
                <w:rStyle w:val="FontStyle31"/>
                <w:lang w:eastAsia="en-US"/>
              </w:rPr>
              <w:t xml:space="preserve"> в стратегията за управление на риска</w:t>
            </w:r>
            <w:r w:rsidRPr="00BB03EF">
              <w:rPr>
                <w:rStyle w:val="FontStyle31"/>
                <w:lang w:eastAsia="en-US"/>
              </w:rPr>
              <w:t>:</w:t>
            </w:r>
          </w:p>
          <w:p w:rsidR="00194424" w:rsidRPr="009179FE" w:rsidRDefault="00194424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9179FE">
              <w:rPr>
                <w:sz w:val="20"/>
                <w:szCs w:val="20"/>
                <w:lang w:eastAsia="en-US"/>
              </w:rPr>
              <w:t xml:space="preserve">В тази част от своето предложение участникът е изложил мнението си / предложението си по отношение на рисковете дефинирани от Възложителя в техническата </w:t>
            </w:r>
            <w:r>
              <w:rPr>
                <w:sz w:val="20"/>
                <w:szCs w:val="20"/>
                <w:lang w:eastAsia="en-US"/>
              </w:rPr>
              <w:t>спецификация, и ги е анализирал;</w:t>
            </w:r>
          </w:p>
          <w:p w:rsidR="00194424" w:rsidRPr="00194424" w:rsidRDefault="00194424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</w:pPr>
            <w:r w:rsidRPr="009179FE">
              <w:rPr>
                <w:sz w:val="20"/>
                <w:szCs w:val="20"/>
                <w:lang w:eastAsia="en-US"/>
              </w:rPr>
              <w:t>Описани са формите на тяхното проявление, вероятността от възникване и степента на влияние на риска върху изпълнението на задачите от техническата спецификация в техния, обем, качество, срок, както и в рамките на предложената от участника цена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194424" w:rsidRPr="00BB03EF" w:rsidRDefault="00194424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BB03EF">
              <w:rPr>
                <w:sz w:val="20"/>
                <w:szCs w:val="20"/>
                <w:lang w:eastAsia="en-US"/>
              </w:rPr>
              <w:t xml:space="preserve">е предложил по </w:t>
            </w:r>
            <w:r>
              <w:rPr>
                <w:b/>
                <w:sz w:val="20"/>
                <w:szCs w:val="20"/>
                <w:lang w:eastAsia="en-US"/>
              </w:rPr>
              <w:t>две</w:t>
            </w:r>
            <w:r w:rsidRPr="00BB03E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A5E6C" w:rsidRPr="00EA5E6C">
              <w:rPr>
                <w:sz w:val="20"/>
                <w:szCs w:val="20"/>
                <w:lang w:eastAsia="en-US"/>
              </w:rPr>
              <w:t>алтернативни</w:t>
            </w:r>
            <w:r w:rsidR="00EA5E6C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B03EF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BB03EF">
              <w:rPr>
                <w:sz w:val="20"/>
                <w:szCs w:val="20"/>
                <w:lang w:eastAsia="en-US"/>
              </w:rPr>
              <w:t>рк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BB03EF">
              <w:rPr>
                <w:sz w:val="20"/>
                <w:szCs w:val="20"/>
                <w:lang w:eastAsia="en-US"/>
              </w:rPr>
              <w:t xml:space="preserve"> за предотвратяване на </w:t>
            </w:r>
            <w:r>
              <w:rPr>
                <w:sz w:val="20"/>
                <w:szCs w:val="20"/>
                <w:lang w:eastAsia="en-US"/>
              </w:rPr>
              <w:t xml:space="preserve">настъпването на </w:t>
            </w:r>
            <w:r w:rsidRPr="00BB03EF">
              <w:rPr>
                <w:sz w:val="20"/>
                <w:szCs w:val="20"/>
                <w:lang w:eastAsia="en-US"/>
              </w:rPr>
              <w:t>всеки от идентифицираните рискове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0125FB" w:rsidRPr="00BB03EF" w:rsidRDefault="00194424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  <w:jc w:val="left"/>
              <w:rPr>
                <w:rStyle w:val="FontStyle31"/>
                <w:lang w:eastAsia="en-US"/>
              </w:rPr>
            </w:pPr>
            <w:r w:rsidRPr="00BB03EF">
              <w:rPr>
                <w:sz w:val="20"/>
                <w:szCs w:val="20"/>
                <w:lang w:eastAsia="en-US"/>
              </w:rPr>
              <w:t xml:space="preserve">е предложил по </w:t>
            </w:r>
            <w:r>
              <w:rPr>
                <w:b/>
                <w:sz w:val="20"/>
                <w:szCs w:val="20"/>
                <w:lang w:eastAsia="en-US"/>
              </w:rPr>
              <w:t>две</w:t>
            </w:r>
            <w:r w:rsidRPr="00BB03EF">
              <w:rPr>
                <w:sz w:val="20"/>
                <w:szCs w:val="20"/>
                <w:lang w:eastAsia="en-US"/>
              </w:rPr>
              <w:t xml:space="preserve"> </w:t>
            </w:r>
            <w:r w:rsidR="00EA5E6C">
              <w:rPr>
                <w:sz w:val="20"/>
                <w:szCs w:val="20"/>
                <w:lang w:eastAsia="en-US"/>
              </w:rPr>
              <w:t xml:space="preserve">алтернативни </w:t>
            </w:r>
            <w:r w:rsidRPr="00BB03EF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BB03EF">
              <w:rPr>
                <w:sz w:val="20"/>
                <w:szCs w:val="20"/>
                <w:lang w:eastAsia="en-US"/>
              </w:rPr>
              <w:t>рк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BB03EF">
              <w:rPr>
                <w:sz w:val="20"/>
                <w:szCs w:val="20"/>
                <w:lang w:eastAsia="en-US"/>
              </w:rPr>
              <w:t xml:space="preserve"> за преодоляване на последиците от евентуалното възникване на всеки от идентифицираните рискове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125FB" w:rsidRPr="00BB03EF" w:rsidRDefault="00635E7C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  <w:r w:rsidRPr="00BB03EF">
              <w:rPr>
                <w:rStyle w:val="FontStyle31"/>
                <w:lang w:val="en-US" w:eastAsia="en-US"/>
              </w:rPr>
              <w:t>1</w:t>
            </w:r>
            <w:r w:rsidR="00C41307">
              <w:rPr>
                <w:rStyle w:val="FontStyle31"/>
                <w:lang w:eastAsia="en-US"/>
              </w:rPr>
              <w:t>9</w:t>
            </w:r>
            <w:r w:rsidR="000125FB" w:rsidRPr="00BB03EF">
              <w:rPr>
                <w:rStyle w:val="FontStyle31"/>
                <w:lang w:eastAsia="en-US"/>
              </w:rPr>
              <w:t xml:space="preserve"> т.</w:t>
            </w:r>
          </w:p>
          <w:p w:rsidR="000125FB" w:rsidRPr="00BB03EF" w:rsidRDefault="000125FB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</w:tr>
      <w:tr w:rsidR="000125FB" w:rsidRPr="00743A0D" w:rsidTr="00B55853">
        <w:trPr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0125FB" w:rsidRPr="00BB03EF" w:rsidRDefault="000125FB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:rsidR="000125FB" w:rsidRPr="00BB03EF" w:rsidRDefault="000125FB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194424" w:rsidRPr="00BB03EF" w:rsidRDefault="00194424" w:rsidP="00194424">
            <w:pPr>
              <w:pStyle w:val="Style5"/>
              <w:widowControl/>
              <w:spacing w:before="120" w:after="120" w:line="240" w:lineRule="auto"/>
              <w:ind w:firstLine="0"/>
              <w:rPr>
                <w:rStyle w:val="FontStyle31"/>
                <w:lang w:eastAsia="en-US"/>
              </w:rPr>
            </w:pPr>
            <w:r w:rsidRPr="00BB03EF">
              <w:rPr>
                <w:rStyle w:val="FontStyle31"/>
                <w:lang w:eastAsia="en-US"/>
              </w:rPr>
              <w:t xml:space="preserve">Комисията поставя </w:t>
            </w:r>
            <w:r>
              <w:rPr>
                <w:rStyle w:val="FontStyle31"/>
                <w:lang w:eastAsia="en-US"/>
              </w:rPr>
              <w:t>25</w:t>
            </w:r>
            <w:r w:rsidRPr="00BB03EF">
              <w:rPr>
                <w:rStyle w:val="FontStyle31"/>
                <w:lang w:eastAsia="en-US"/>
              </w:rPr>
              <w:t xml:space="preserve"> т., когато са налице</w:t>
            </w:r>
            <w:r>
              <w:rPr>
                <w:rStyle w:val="FontStyle31"/>
                <w:lang w:eastAsia="en-US"/>
              </w:rPr>
              <w:t xml:space="preserve"> следните</w:t>
            </w:r>
            <w:r w:rsidRPr="00BB03EF">
              <w:rPr>
                <w:rStyle w:val="FontStyle31"/>
                <w:lang w:eastAsia="en-US"/>
              </w:rPr>
              <w:t xml:space="preserve"> обстоятелства</w:t>
            </w:r>
            <w:r>
              <w:rPr>
                <w:rStyle w:val="FontStyle31"/>
                <w:lang w:eastAsia="en-US"/>
              </w:rPr>
              <w:t xml:space="preserve"> в стратегията за управление на риска</w:t>
            </w:r>
            <w:r w:rsidRPr="00BB03EF">
              <w:rPr>
                <w:rStyle w:val="FontStyle31"/>
                <w:lang w:eastAsia="en-US"/>
              </w:rPr>
              <w:t>:</w:t>
            </w:r>
          </w:p>
          <w:p w:rsidR="00194424" w:rsidRPr="009179FE" w:rsidRDefault="00194424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9179FE">
              <w:rPr>
                <w:sz w:val="20"/>
                <w:szCs w:val="20"/>
                <w:lang w:eastAsia="en-US"/>
              </w:rPr>
              <w:t xml:space="preserve">В тази част от своето предложение участникът е изложил мнението си / предложението си по отношение на рисковете дефинирани от Възложителя в техническата </w:t>
            </w:r>
            <w:r>
              <w:rPr>
                <w:sz w:val="20"/>
                <w:szCs w:val="20"/>
                <w:lang w:eastAsia="en-US"/>
              </w:rPr>
              <w:t>спецификация, и ги е анализирал;</w:t>
            </w:r>
          </w:p>
          <w:p w:rsidR="00194424" w:rsidRPr="00194424" w:rsidRDefault="00194424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</w:pPr>
            <w:r w:rsidRPr="009179FE">
              <w:rPr>
                <w:sz w:val="20"/>
                <w:szCs w:val="20"/>
                <w:lang w:eastAsia="en-US"/>
              </w:rPr>
              <w:t xml:space="preserve">Описани са формите на тяхното проявление, </w:t>
            </w:r>
            <w:r w:rsidRPr="009179FE">
              <w:rPr>
                <w:sz w:val="20"/>
                <w:szCs w:val="20"/>
                <w:lang w:eastAsia="en-US"/>
              </w:rPr>
              <w:lastRenderedPageBreak/>
              <w:t>вероятността от възникване и степента на влияние на риска върху изпълнението на задачите от техническата спецификация в техния, обем, качество, срок, както и в рамките на предложената от участника цена</w:t>
            </w:r>
            <w:r>
              <w:rPr>
                <w:sz w:val="20"/>
                <w:szCs w:val="20"/>
                <w:lang w:eastAsia="en-US"/>
              </w:rPr>
              <w:t>3</w:t>
            </w:r>
          </w:p>
          <w:p w:rsidR="00194424" w:rsidRPr="00BB03EF" w:rsidRDefault="00194424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BB03EF">
              <w:rPr>
                <w:sz w:val="20"/>
                <w:szCs w:val="20"/>
                <w:lang w:eastAsia="en-US"/>
              </w:rPr>
              <w:t xml:space="preserve">е предложил по </w:t>
            </w:r>
            <w:r w:rsidRPr="00194424">
              <w:rPr>
                <w:b/>
                <w:sz w:val="20"/>
                <w:szCs w:val="20"/>
                <w:lang w:eastAsia="en-US"/>
              </w:rPr>
              <w:t xml:space="preserve">повече от </w:t>
            </w:r>
            <w:r>
              <w:rPr>
                <w:b/>
                <w:sz w:val="20"/>
                <w:szCs w:val="20"/>
                <w:lang w:eastAsia="en-US"/>
              </w:rPr>
              <w:t>две</w:t>
            </w:r>
            <w:r w:rsidRPr="00BB03E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A5E6C">
              <w:rPr>
                <w:sz w:val="20"/>
                <w:szCs w:val="20"/>
                <w:lang w:eastAsia="en-US"/>
              </w:rPr>
              <w:t xml:space="preserve">алтернативни </w:t>
            </w:r>
            <w:r w:rsidRPr="00BB03EF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BB03EF">
              <w:rPr>
                <w:sz w:val="20"/>
                <w:szCs w:val="20"/>
                <w:lang w:eastAsia="en-US"/>
              </w:rPr>
              <w:t>рк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BB03EF">
              <w:rPr>
                <w:sz w:val="20"/>
                <w:szCs w:val="20"/>
                <w:lang w:eastAsia="en-US"/>
              </w:rPr>
              <w:t xml:space="preserve"> за предотвратяване на </w:t>
            </w:r>
            <w:r>
              <w:rPr>
                <w:sz w:val="20"/>
                <w:szCs w:val="20"/>
                <w:lang w:eastAsia="en-US"/>
              </w:rPr>
              <w:t xml:space="preserve">настъпването на </w:t>
            </w:r>
            <w:r w:rsidRPr="00BB03EF">
              <w:rPr>
                <w:sz w:val="20"/>
                <w:szCs w:val="20"/>
                <w:lang w:eastAsia="en-US"/>
              </w:rPr>
              <w:t>всеки от идентифицираните рискове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0125FB" w:rsidRPr="00BB03EF" w:rsidRDefault="00194424" w:rsidP="00194424">
            <w:pPr>
              <w:pStyle w:val="Style5"/>
              <w:numPr>
                <w:ilvl w:val="0"/>
                <w:numId w:val="4"/>
              </w:numPr>
              <w:spacing w:before="120" w:after="120" w:line="240" w:lineRule="auto"/>
              <w:ind w:firstLine="0"/>
              <w:jc w:val="left"/>
              <w:rPr>
                <w:rStyle w:val="FontStyle31"/>
                <w:lang w:eastAsia="en-US"/>
              </w:rPr>
            </w:pPr>
            <w:r w:rsidRPr="00BB03EF">
              <w:rPr>
                <w:sz w:val="20"/>
                <w:szCs w:val="20"/>
                <w:lang w:eastAsia="en-US"/>
              </w:rPr>
              <w:t>е предложил по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94424">
              <w:rPr>
                <w:b/>
                <w:sz w:val="20"/>
                <w:szCs w:val="20"/>
                <w:lang w:eastAsia="en-US"/>
              </w:rPr>
              <w:t>повече от</w:t>
            </w:r>
            <w:r w:rsidRPr="00BB03E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две</w:t>
            </w:r>
            <w:r w:rsidRPr="00BB03EF">
              <w:rPr>
                <w:sz w:val="20"/>
                <w:szCs w:val="20"/>
                <w:lang w:eastAsia="en-US"/>
              </w:rPr>
              <w:t xml:space="preserve"> </w:t>
            </w:r>
            <w:r w:rsidR="00EA5E6C">
              <w:rPr>
                <w:sz w:val="20"/>
                <w:szCs w:val="20"/>
                <w:lang w:eastAsia="en-US"/>
              </w:rPr>
              <w:t xml:space="preserve">алтернативни </w:t>
            </w:r>
            <w:r w:rsidRPr="00BB03EF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BB03EF">
              <w:rPr>
                <w:sz w:val="20"/>
                <w:szCs w:val="20"/>
                <w:lang w:eastAsia="en-US"/>
              </w:rPr>
              <w:t>рк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BB03EF">
              <w:rPr>
                <w:sz w:val="20"/>
                <w:szCs w:val="20"/>
                <w:lang w:eastAsia="en-US"/>
              </w:rPr>
              <w:t xml:space="preserve"> за преодоляване на последиците от евентуалното възникване на всеки от идентифицираните рискове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125FB" w:rsidRPr="00BB03EF" w:rsidRDefault="00635E7C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  <w:r w:rsidRPr="00BB03EF">
              <w:rPr>
                <w:rStyle w:val="FontStyle31"/>
                <w:lang w:val="en-US" w:eastAsia="en-US"/>
              </w:rPr>
              <w:lastRenderedPageBreak/>
              <w:t>2</w:t>
            </w:r>
            <w:r w:rsidR="00C41307">
              <w:rPr>
                <w:rStyle w:val="FontStyle31"/>
                <w:lang w:eastAsia="en-US"/>
              </w:rPr>
              <w:t>5</w:t>
            </w:r>
            <w:r w:rsidR="000125FB" w:rsidRPr="00BB03EF">
              <w:rPr>
                <w:rStyle w:val="FontStyle31"/>
                <w:lang w:eastAsia="en-US"/>
              </w:rPr>
              <w:t xml:space="preserve"> т.</w:t>
            </w:r>
          </w:p>
          <w:p w:rsidR="000125FB" w:rsidRPr="00BB03EF" w:rsidRDefault="000125FB" w:rsidP="00B55853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rStyle w:val="FontStyle31"/>
                <w:lang w:eastAsia="en-US"/>
              </w:rPr>
            </w:pPr>
          </w:p>
        </w:tc>
      </w:tr>
    </w:tbl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726"/>
      </w:tblGrid>
      <w:tr w:rsidR="00194424" w:rsidRPr="00743A0D" w:rsidTr="007B1745">
        <w:trPr>
          <w:jc w:val="center"/>
        </w:trPr>
        <w:tc>
          <w:tcPr>
            <w:tcW w:w="2121" w:type="dxa"/>
            <w:vAlign w:val="center"/>
          </w:tcPr>
          <w:p w:rsidR="00194424" w:rsidRPr="00B61532" w:rsidRDefault="004830F8" w:rsidP="007B1745">
            <w:pPr>
              <w:pStyle w:val="Style5"/>
              <w:widowControl/>
              <w:spacing w:before="120" w:after="120" w:line="240" w:lineRule="auto"/>
              <w:ind w:left="33" w:firstLine="0"/>
              <w:jc w:val="center"/>
              <w:rPr>
                <w:rStyle w:val="FontStyle31"/>
                <w:b/>
                <w:lang w:eastAsia="en-US"/>
              </w:rPr>
            </w:pPr>
            <w:r>
              <w:rPr>
                <w:rStyle w:val="FontStyle31"/>
                <w:b/>
                <w:lang w:eastAsia="en-US"/>
              </w:rPr>
              <w:t>Забележки</w:t>
            </w:r>
          </w:p>
        </w:tc>
        <w:tc>
          <w:tcPr>
            <w:tcW w:w="7726" w:type="dxa"/>
            <w:shd w:val="clear" w:color="auto" w:fill="auto"/>
            <w:vAlign w:val="center"/>
          </w:tcPr>
          <w:p w:rsidR="004830F8" w:rsidRDefault="00194424" w:rsidP="007B1745">
            <w:pPr>
              <w:pStyle w:val="Style5"/>
              <w:widowControl/>
              <w:spacing w:before="120" w:after="120" w:line="240" w:lineRule="auto"/>
              <w:ind w:left="33" w:firstLine="0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За целите на о</w:t>
            </w:r>
            <w:r w:rsidRPr="00743A0D">
              <w:rPr>
                <w:rStyle w:val="FontStyle31"/>
                <w:lang w:eastAsia="en-US"/>
              </w:rPr>
              <w:t xml:space="preserve">ценката </w:t>
            </w:r>
            <w:r>
              <w:rPr>
                <w:rStyle w:val="FontStyle31"/>
                <w:lang w:eastAsia="en-US"/>
              </w:rPr>
              <w:t xml:space="preserve">по подпоказател К2 участниците следва да имат предвид, че </w:t>
            </w:r>
            <w:r w:rsidR="00EA5E6C">
              <w:rPr>
                <w:rStyle w:val="FontStyle31"/>
                <w:lang w:eastAsia="en-US"/>
              </w:rPr>
              <w:t>предложените мерки за предотвратяване и преодоляване</w:t>
            </w:r>
            <w:r w:rsidR="004830F8">
              <w:rPr>
                <w:rStyle w:val="FontStyle31"/>
                <w:lang w:eastAsia="en-US"/>
              </w:rPr>
              <w:t xml:space="preserve"> на рисковете </w:t>
            </w:r>
            <w:r w:rsidR="00EA5E6C">
              <w:rPr>
                <w:rStyle w:val="FontStyle31"/>
                <w:lang w:eastAsia="en-US"/>
              </w:rPr>
              <w:t>следва да са от естество, което реално да повлиява върху конкретните рискове</w:t>
            </w:r>
            <w:r w:rsidR="004830F8">
              <w:rPr>
                <w:rStyle w:val="FontStyle31"/>
                <w:lang w:eastAsia="en-US"/>
              </w:rPr>
              <w:t>.</w:t>
            </w:r>
          </w:p>
          <w:p w:rsidR="004830F8" w:rsidRDefault="004830F8" w:rsidP="004830F8">
            <w:pPr>
              <w:pStyle w:val="Style5"/>
              <w:widowControl/>
              <w:spacing w:before="120" w:after="120" w:line="240" w:lineRule="auto"/>
              <w:ind w:left="33" w:firstLine="0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 xml:space="preserve">Участниците следва да предложат мерки, които ще бъдат прилагани от тях при изпълнение на задачите. </w:t>
            </w:r>
          </w:p>
          <w:p w:rsidR="00194424" w:rsidRPr="00743A0D" w:rsidRDefault="00194424" w:rsidP="004830F8">
            <w:pPr>
              <w:pStyle w:val="Style5"/>
              <w:widowControl/>
              <w:spacing w:before="120" w:after="120" w:line="240" w:lineRule="auto"/>
              <w:ind w:left="33" w:firstLine="0"/>
              <w:rPr>
                <w:rStyle w:val="FontStyle31"/>
                <w:b/>
                <w:lang w:eastAsia="en-US"/>
              </w:rPr>
            </w:pPr>
            <w:r>
              <w:rPr>
                <w:rStyle w:val="FontStyle31"/>
                <w:b/>
                <w:lang w:eastAsia="en-US"/>
              </w:rPr>
              <w:t xml:space="preserve">В случай, че в </w:t>
            </w:r>
            <w:r w:rsidR="00EA5E6C">
              <w:rPr>
                <w:rStyle w:val="FontStyle31"/>
                <w:b/>
                <w:lang w:eastAsia="en-US"/>
              </w:rPr>
              <w:t>стратегията за управление на риска</w:t>
            </w:r>
            <w:r>
              <w:rPr>
                <w:rStyle w:val="FontStyle31"/>
                <w:b/>
                <w:lang w:eastAsia="en-US"/>
              </w:rPr>
              <w:t xml:space="preserve"> липсва някоя от съставните части</w:t>
            </w:r>
            <w:r w:rsidR="00EA5E6C">
              <w:rPr>
                <w:rStyle w:val="FontStyle31"/>
                <w:b/>
                <w:lang w:eastAsia="en-US"/>
              </w:rPr>
              <w:t xml:space="preserve">, </w:t>
            </w:r>
            <w:r w:rsidR="00EA5E6C" w:rsidRPr="00EA5E6C">
              <w:rPr>
                <w:rStyle w:val="FontStyle31"/>
                <w:b/>
                <w:lang w:eastAsia="en-US"/>
              </w:rPr>
              <w:t>съгласно изискванията за съдържание посочени в указанията за участие</w:t>
            </w:r>
            <w:r w:rsidR="00EA5E6C">
              <w:rPr>
                <w:rStyle w:val="FontStyle31"/>
                <w:b/>
                <w:lang w:eastAsia="en-US"/>
              </w:rPr>
              <w:t>,</w:t>
            </w:r>
            <w:r>
              <w:rPr>
                <w:rStyle w:val="FontStyle31"/>
                <w:b/>
                <w:lang w:eastAsia="en-US"/>
              </w:rPr>
              <w:t xml:space="preserve"> то тези предложения ще бъдат предложени за отстраняване.</w:t>
            </w:r>
          </w:p>
        </w:tc>
      </w:tr>
    </w:tbl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A0D">
        <w:rPr>
          <w:rFonts w:ascii="Times New Roman" w:hAnsi="Times New Roman"/>
          <w:b/>
          <w:sz w:val="24"/>
          <w:szCs w:val="24"/>
        </w:rPr>
        <w:t>2. Оценка по показател П 2 – Ценово предложение на у</w:t>
      </w:r>
      <w:r w:rsidR="00635E7C" w:rsidRPr="00743A0D">
        <w:rPr>
          <w:rFonts w:ascii="Times New Roman" w:hAnsi="Times New Roman"/>
          <w:b/>
          <w:sz w:val="24"/>
          <w:szCs w:val="24"/>
        </w:rPr>
        <w:t xml:space="preserve">частника – максимална стойност </w:t>
      </w:r>
      <w:r w:rsidR="00635E7C" w:rsidRPr="00D635CC">
        <w:rPr>
          <w:rFonts w:ascii="Times New Roman" w:hAnsi="Times New Roman"/>
          <w:b/>
          <w:sz w:val="24"/>
          <w:szCs w:val="24"/>
        </w:rPr>
        <w:t>5</w:t>
      </w:r>
      <w:r w:rsidRPr="00743A0D">
        <w:rPr>
          <w:rFonts w:ascii="Times New Roman" w:hAnsi="Times New Roman"/>
          <w:b/>
          <w:sz w:val="24"/>
          <w:szCs w:val="24"/>
        </w:rPr>
        <w:t>0 точки</w:t>
      </w: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A0D">
        <w:rPr>
          <w:rFonts w:ascii="Times New Roman" w:hAnsi="Times New Roman"/>
          <w:sz w:val="24"/>
          <w:szCs w:val="24"/>
        </w:rPr>
        <w:t>Преди извършване на финансовата оценка, ценовите предложения се проверяват, за да се установи, че са подготвени и представени в съответствие с изискванията на документацията за участие в процедурата.</w:t>
      </w:r>
    </w:p>
    <w:p w:rsidR="004830F8" w:rsidRPr="00743A0D" w:rsidRDefault="004830F8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Pr="00743A0D" w:rsidRDefault="004830F8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125FB" w:rsidRPr="00743A0D">
        <w:rPr>
          <w:rFonts w:ascii="Times New Roman" w:hAnsi="Times New Roman"/>
          <w:sz w:val="24"/>
          <w:szCs w:val="24"/>
        </w:rPr>
        <w:t>очки</w:t>
      </w:r>
      <w:r>
        <w:rPr>
          <w:rFonts w:ascii="Times New Roman" w:hAnsi="Times New Roman"/>
          <w:sz w:val="24"/>
          <w:szCs w:val="24"/>
        </w:rPr>
        <w:t>те</w:t>
      </w:r>
      <w:r w:rsidR="000125FB" w:rsidRPr="00743A0D">
        <w:rPr>
          <w:rFonts w:ascii="Times New Roman" w:hAnsi="Times New Roman"/>
          <w:sz w:val="24"/>
          <w:szCs w:val="24"/>
        </w:rPr>
        <w:t xml:space="preserve"> на ценовите предложения, допуснати до оценка, се изчисляват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0125FB" w:rsidRPr="00743A0D">
        <w:rPr>
          <w:rFonts w:ascii="Times New Roman" w:hAnsi="Times New Roman"/>
          <w:sz w:val="24"/>
          <w:szCs w:val="24"/>
        </w:rPr>
        <w:t>отделно по следната формула:</w:t>
      </w: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960"/>
        <w:gridCol w:w="2958"/>
      </w:tblGrid>
      <w:tr w:rsidR="000125FB" w:rsidRPr="00743A0D" w:rsidTr="00B55853">
        <w:tc>
          <w:tcPr>
            <w:tcW w:w="26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FB" w:rsidRPr="00743A0D" w:rsidRDefault="000125FB" w:rsidP="00B558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3A0D">
              <w:rPr>
                <w:rFonts w:ascii="Times New Roman" w:hAnsi="Times New Roman"/>
                <w:i/>
                <w:sz w:val="24"/>
                <w:szCs w:val="24"/>
              </w:rPr>
              <w:t>П 2     =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0125FB" w:rsidRPr="00743A0D" w:rsidRDefault="000125FB" w:rsidP="00B558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3A0D">
              <w:rPr>
                <w:rFonts w:ascii="Times New Roman" w:hAnsi="Times New Roman"/>
                <w:i/>
                <w:sz w:val="24"/>
                <w:szCs w:val="24"/>
              </w:rPr>
              <w:t>Предложена най-ниска цена</w:t>
            </w:r>
          </w:p>
        </w:tc>
        <w:tc>
          <w:tcPr>
            <w:tcW w:w="29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FB" w:rsidRPr="00743A0D" w:rsidRDefault="00635E7C" w:rsidP="00B55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*</w:t>
            </w:r>
            <w:r w:rsidRPr="00743A0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125FB" w:rsidRPr="00743A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125FB" w:rsidRPr="00743A0D" w:rsidTr="00B55853">
        <w:tc>
          <w:tcPr>
            <w:tcW w:w="2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25FB" w:rsidRPr="00743A0D" w:rsidRDefault="000125FB" w:rsidP="00B558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0125FB" w:rsidRPr="00743A0D" w:rsidRDefault="000125FB" w:rsidP="00B558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3A0D">
              <w:rPr>
                <w:rFonts w:ascii="Times New Roman" w:hAnsi="Times New Roman"/>
                <w:i/>
                <w:sz w:val="24"/>
                <w:szCs w:val="24"/>
              </w:rPr>
              <w:t>Предложена цена от участника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25FB" w:rsidRPr="00743A0D" w:rsidRDefault="000125FB" w:rsidP="00B55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A0D">
        <w:rPr>
          <w:rFonts w:ascii="Times New Roman" w:hAnsi="Times New Roman"/>
          <w:sz w:val="24"/>
          <w:szCs w:val="24"/>
        </w:rPr>
        <w:t>Максималният брой точки, ко</w:t>
      </w:r>
      <w:r w:rsidR="004830F8">
        <w:rPr>
          <w:rFonts w:ascii="Times New Roman" w:hAnsi="Times New Roman"/>
          <w:sz w:val="24"/>
          <w:szCs w:val="24"/>
        </w:rPr>
        <w:t>й</w:t>
      </w:r>
      <w:r w:rsidRPr="00743A0D">
        <w:rPr>
          <w:rFonts w:ascii="Times New Roman" w:hAnsi="Times New Roman"/>
          <w:sz w:val="24"/>
          <w:szCs w:val="24"/>
        </w:rPr>
        <w:t>то даден участник може да получи при оц</w:t>
      </w:r>
      <w:r w:rsidR="00635E7C" w:rsidRPr="00743A0D">
        <w:rPr>
          <w:rFonts w:ascii="Times New Roman" w:hAnsi="Times New Roman"/>
          <w:sz w:val="24"/>
          <w:szCs w:val="24"/>
        </w:rPr>
        <w:t xml:space="preserve">енка на ценовото предложение е </w:t>
      </w:r>
      <w:r w:rsidR="00635E7C" w:rsidRPr="00D635CC">
        <w:rPr>
          <w:rFonts w:ascii="Times New Roman" w:hAnsi="Times New Roman"/>
          <w:sz w:val="24"/>
          <w:szCs w:val="24"/>
        </w:rPr>
        <w:t>5</w:t>
      </w:r>
      <w:r w:rsidRPr="00743A0D">
        <w:rPr>
          <w:rFonts w:ascii="Times New Roman" w:hAnsi="Times New Roman"/>
          <w:sz w:val="24"/>
          <w:szCs w:val="24"/>
        </w:rPr>
        <w:t>0 точки.</w:t>
      </w:r>
    </w:p>
    <w:p w:rsidR="004830F8" w:rsidRPr="00743A0D" w:rsidRDefault="004830F8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Default="000125FB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A0D">
        <w:rPr>
          <w:rFonts w:ascii="Times New Roman" w:hAnsi="Times New Roman"/>
          <w:sz w:val="24"/>
          <w:szCs w:val="24"/>
        </w:rPr>
        <w:t>При оценка на ценовото предложение Комисията изчислява точките с точност до втория знак след десетичната запетая.</w:t>
      </w:r>
    </w:p>
    <w:p w:rsidR="004830F8" w:rsidRPr="00743A0D" w:rsidRDefault="004830F8" w:rsidP="0001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43A0D">
        <w:rPr>
          <w:rFonts w:ascii="Times New Roman" w:hAnsi="Times New Roman"/>
          <w:iCs/>
          <w:sz w:val="24"/>
          <w:szCs w:val="24"/>
        </w:rPr>
        <w:t>Ако първите в класирането участници са с равен брой точки, се класира на първо място участникът, който е предложил по-ниска цена.</w:t>
      </w:r>
    </w:p>
    <w:p w:rsidR="000125FB" w:rsidRDefault="000125FB" w:rsidP="000125F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43A0D">
        <w:rPr>
          <w:rFonts w:ascii="Times New Roman" w:hAnsi="Times New Roman"/>
          <w:iCs/>
          <w:sz w:val="24"/>
          <w:szCs w:val="24"/>
        </w:rPr>
        <w:lastRenderedPageBreak/>
        <w:t>При условие, че и цените са еднакви, се сравняват оценките по показателя с най-висока относителна тежест и се избира офертата с най-благоприятна стойност по този показател.</w:t>
      </w:r>
    </w:p>
    <w:p w:rsidR="004830F8" w:rsidRPr="00743A0D" w:rsidRDefault="004830F8" w:rsidP="000125F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125FB" w:rsidRPr="00743A0D" w:rsidRDefault="000125FB" w:rsidP="000125F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43A0D">
        <w:rPr>
          <w:rFonts w:ascii="Times New Roman" w:hAnsi="Times New Roman"/>
          <w:iCs/>
          <w:sz w:val="24"/>
          <w:szCs w:val="24"/>
        </w:rPr>
        <w:t>Ако и по този начин не може да се определи икономически най-изгодната оферта, комисията провежда публично жребий за определяне на изпълнител между класираните на първо място оферти.</w:t>
      </w:r>
    </w:p>
    <w:p w:rsidR="002232F2" w:rsidRPr="00743A0D" w:rsidRDefault="002232F2">
      <w:pPr>
        <w:rPr>
          <w:rFonts w:ascii="Times New Roman" w:hAnsi="Times New Roman"/>
          <w:sz w:val="24"/>
          <w:szCs w:val="24"/>
        </w:rPr>
      </w:pPr>
    </w:p>
    <w:sectPr w:rsidR="002232F2" w:rsidRPr="00743A0D" w:rsidSect="008D5138">
      <w:pgSz w:w="11900" w:h="16838"/>
      <w:pgMar w:top="1134" w:right="851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B33"/>
    <w:multiLevelType w:val="hybridMultilevel"/>
    <w:tmpl w:val="D422B36C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3B67FB1"/>
    <w:multiLevelType w:val="hybridMultilevel"/>
    <w:tmpl w:val="0694BEEC"/>
    <w:lvl w:ilvl="0" w:tplc="0402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44193634"/>
    <w:multiLevelType w:val="hybridMultilevel"/>
    <w:tmpl w:val="68283AF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D1491"/>
    <w:multiLevelType w:val="multilevel"/>
    <w:tmpl w:val="8CEA7D2A"/>
    <w:lvl w:ilvl="0">
      <w:start w:val="1"/>
      <w:numFmt w:val="decimal"/>
      <w:lvlText w:val="%1."/>
      <w:lvlJc w:val="left"/>
      <w:pPr>
        <w:ind w:left="825" w:hanging="706"/>
      </w:pPr>
      <w:rPr>
        <w:rFonts w:ascii="Times New Roman" w:eastAsia="Times New Roman" w:hAnsi="Times New Roman" w:hint="default"/>
        <w:w w:val="110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hint="default"/>
        <w:w w:val="94"/>
        <w:sz w:val="24"/>
        <w:szCs w:val="24"/>
      </w:rPr>
    </w:lvl>
    <w:lvl w:ilvl="2">
      <w:start w:val="1"/>
      <w:numFmt w:val="bullet"/>
      <w:lvlText w:val="-"/>
      <w:lvlJc w:val="left"/>
      <w:pPr>
        <w:ind w:left="846" w:hanging="339"/>
      </w:pPr>
      <w:rPr>
        <w:rFonts w:ascii="Times New Roman" w:eastAsia="Times New Roman" w:hAnsi="Times New Roman" w:hint="default"/>
        <w:w w:val="77"/>
      </w:rPr>
    </w:lvl>
    <w:lvl w:ilvl="3">
      <w:start w:val="1"/>
      <w:numFmt w:val="bullet"/>
      <w:lvlText w:val="•"/>
      <w:lvlJc w:val="left"/>
      <w:pPr>
        <w:ind w:left="1900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61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2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83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4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4" w:hanging="339"/>
      </w:pPr>
      <w:rPr>
        <w:rFonts w:hint="default"/>
      </w:rPr>
    </w:lvl>
  </w:abstractNum>
  <w:abstractNum w:abstractNumId="4">
    <w:nsid w:val="7DB02962"/>
    <w:multiLevelType w:val="multilevel"/>
    <w:tmpl w:val="A0127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41"/>
  <w:drawingGridVerticalSpacing w:val="164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FB"/>
    <w:rsid w:val="000125FB"/>
    <w:rsid w:val="0006408C"/>
    <w:rsid w:val="0012371B"/>
    <w:rsid w:val="00194424"/>
    <w:rsid w:val="001A35ED"/>
    <w:rsid w:val="001F51D3"/>
    <w:rsid w:val="002232F2"/>
    <w:rsid w:val="0035246D"/>
    <w:rsid w:val="0037302C"/>
    <w:rsid w:val="00413483"/>
    <w:rsid w:val="00450DC1"/>
    <w:rsid w:val="004830F8"/>
    <w:rsid w:val="00541480"/>
    <w:rsid w:val="00635E7C"/>
    <w:rsid w:val="00652FCB"/>
    <w:rsid w:val="00743A0D"/>
    <w:rsid w:val="007F73B8"/>
    <w:rsid w:val="008D5138"/>
    <w:rsid w:val="009179FE"/>
    <w:rsid w:val="00960000"/>
    <w:rsid w:val="00AB799C"/>
    <w:rsid w:val="00B61532"/>
    <w:rsid w:val="00B62392"/>
    <w:rsid w:val="00BB03EF"/>
    <w:rsid w:val="00BD28F6"/>
    <w:rsid w:val="00C41307"/>
    <w:rsid w:val="00C64B97"/>
    <w:rsid w:val="00D635CC"/>
    <w:rsid w:val="00E04319"/>
    <w:rsid w:val="00E464FF"/>
    <w:rsid w:val="00EA5E6C"/>
    <w:rsid w:val="00ED42C1"/>
    <w:rsid w:val="00EF21E9"/>
    <w:rsid w:val="00F3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bg-BG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FB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02C"/>
  </w:style>
  <w:style w:type="paragraph" w:styleId="BodyText">
    <w:name w:val="Body Text"/>
    <w:basedOn w:val="Normal"/>
    <w:link w:val="BodyTextChar"/>
    <w:qFormat/>
    <w:rsid w:val="000125FB"/>
    <w:pPr>
      <w:widowControl w:val="0"/>
      <w:autoSpaceDE w:val="0"/>
      <w:autoSpaceDN w:val="0"/>
      <w:adjustRightInd w:val="0"/>
      <w:spacing w:after="0" w:line="240" w:lineRule="auto"/>
      <w:ind w:left="106"/>
    </w:pPr>
    <w:rPr>
      <w:rFonts w:ascii="Arial" w:eastAsia="Times New Roman" w:hAnsi="Arial"/>
      <w:sz w:val="24"/>
      <w:szCs w:val="24"/>
      <w:lang w:val="x-none" w:eastAsia="bg-BG"/>
    </w:rPr>
  </w:style>
  <w:style w:type="character" w:customStyle="1" w:styleId="BodyTextChar">
    <w:name w:val="Body Text Char"/>
    <w:basedOn w:val="DefaultParagraphFont"/>
    <w:link w:val="BodyText"/>
    <w:rsid w:val="000125FB"/>
    <w:rPr>
      <w:rFonts w:ascii="Arial" w:eastAsia="Times New Roman" w:hAnsi="Arial"/>
      <w:lang w:val="x-none" w:eastAsia="bg-BG"/>
    </w:rPr>
  </w:style>
  <w:style w:type="paragraph" w:customStyle="1" w:styleId="Style5">
    <w:name w:val="Style5"/>
    <w:basedOn w:val="Normal"/>
    <w:rsid w:val="000125FB"/>
    <w:pPr>
      <w:widowControl w:val="0"/>
      <w:autoSpaceDE w:val="0"/>
      <w:autoSpaceDN w:val="0"/>
      <w:adjustRightInd w:val="0"/>
      <w:spacing w:after="0" w:line="266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31">
    <w:name w:val="Font Style31"/>
    <w:rsid w:val="000125FB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locked/>
    <w:rsid w:val="00BD28F6"/>
    <w:rPr>
      <w:lang w:val="en-AU" w:eastAsia="x-none"/>
    </w:rPr>
  </w:style>
  <w:style w:type="paragraph" w:styleId="BodyTextIndent">
    <w:name w:val="Body Text Indent"/>
    <w:basedOn w:val="Normal"/>
    <w:link w:val="BodyTextIndentChar"/>
    <w:rsid w:val="00BD28F6"/>
    <w:pPr>
      <w:spacing w:after="120" w:line="240" w:lineRule="auto"/>
      <w:ind w:left="283"/>
    </w:pPr>
    <w:rPr>
      <w:rFonts w:ascii="Georgia" w:eastAsiaTheme="minorHAnsi" w:hAnsi="Georgia"/>
      <w:sz w:val="24"/>
      <w:szCs w:val="24"/>
      <w:lang w:val="en-AU" w:eastAsia="x-none"/>
    </w:rPr>
  </w:style>
  <w:style w:type="character" w:customStyle="1" w:styleId="BodyTextIndentChar1">
    <w:name w:val="Body Text Indent Char1"/>
    <w:basedOn w:val="DefaultParagraphFont"/>
    <w:uiPriority w:val="99"/>
    <w:semiHidden/>
    <w:rsid w:val="00BD28F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bg-BG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FB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02C"/>
  </w:style>
  <w:style w:type="paragraph" w:styleId="BodyText">
    <w:name w:val="Body Text"/>
    <w:basedOn w:val="Normal"/>
    <w:link w:val="BodyTextChar"/>
    <w:qFormat/>
    <w:rsid w:val="000125FB"/>
    <w:pPr>
      <w:widowControl w:val="0"/>
      <w:autoSpaceDE w:val="0"/>
      <w:autoSpaceDN w:val="0"/>
      <w:adjustRightInd w:val="0"/>
      <w:spacing w:after="0" w:line="240" w:lineRule="auto"/>
      <w:ind w:left="106"/>
    </w:pPr>
    <w:rPr>
      <w:rFonts w:ascii="Arial" w:eastAsia="Times New Roman" w:hAnsi="Arial"/>
      <w:sz w:val="24"/>
      <w:szCs w:val="24"/>
      <w:lang w:val="x-none" w:eastAsia="bg-BG"/>
    </w:rPr>
  </w:style>
  <w:style w:type="character" w:customStyle="1" w:styleId="BodyTextChar">
    <w:name w:val="Body Text Char"/>
    <w:basedOn w:val="DefaultParagraphFont"/>
    <w:link w:val="BodyText"/>
    <w:rsid w:val="000125FB"/>
    <w:rPr>
      <w:rFonts w:ascii="Arial" w:eastAsia="Times New Roman" w:hAnsi="Arial"/>
      <w:lang w:val="x-none" w:eastAsia="bg-BG"/>
    </w:rPr>
  </w:style>
  <w:style w:type="paragraph" w:customStyle="1" w:styleId="Style5">
    <w:name w:val="Style5"/>
    <w:basedOn w:val="Normal"/>
    <w:rsid w:val="000125FB"/>
    <w:pPr>
      <w:widowControl w:val="0"/>
      <w:autoSpaceDE w:val="0"/>
      <w:autoSpaceDN w:val="0"/>
      <w:adjustRightInd w:val="0"/>
      <w:spacing w:after="0" w:line="266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31">
    <w:name w:val="Font Style31"/>
    <w:rsid w:val="000125FB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locked/>
    <w:rsid w:val="00BD28F6"/>
    <w:rPr>
      <w:lang w:val="en-AU" w:eastAsia="x-none"/>
    </w:rPr>
  </w:style>
  <w:style w:type="paragraph" w:styleId="BodyTextIndent">
    <w:name w:val="Body Text Indent"/>
    <w:basedOn w:val="Normal"/>
    <w:link w:val="BodyTextIndentChar"/>
    <w:rsid w:val="00BD28F6"/>
    <w:pPr>
      <w:spacing w:after="120" w:line="240" w:lineRule="auto"/>
      <w:ind w:left="283"/>
    </w:pPr>
    <w:rPr>
      <w:rFonts w:ascii="Georgia" w:eastAsiaTheme="minorHAnsi" w:hAnsi="Georgia"/>
      <w:sz w:val="24"/>
      <w:szCs w:val="24"/>
      <w:lang w:val="en-AU" w:eastAsia="x-none"/>
    </w:rPr>
  </w:style>
  <w:style w:type="character" w:customStyle="1" w:styleId="BodyTextIndentChar1">
    <w:name w:val="Body Text Indent Char1"/>
    <w:basedOn w:val="DefaultParagraphFont"/>
    <w:uiPriority w:val="99"/>
    <w:semiHidden/>
    <w:rsid w:val="00BD28F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Dessy Lilova</cp:lastModifiedBy>
  <cp:revision>13</cp:revision>
  <dcterms:created xsi:type="dcterms:W3CDTF">2016-04-12T10:43:00Z</dcterms:created>
  <dcterms:modified xsi:type="dcterms:W3CDTF">2016-04-13T08:35:00Z</dcterms:modified>
</cp:coreProperties>
</file>